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43EE9F25" w14:textId="77777777" w:rsidR="004C726F" w:rsidRPr="009546E7" w:rsidRDefault="004C726F" w:rsidP="004C726F">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345C39F7" w14:textId="77777777" w:rsidR="004C726F" w:rsidRPr="009546E7" w:rsidRDefault="004C726F" w:rsidP="004C726F">
      <w:pPr>
        <w:spacing w:after="0"/>
        <w:jc w:val="both"/>
        <w:rPr>
          <w:sz w:val="20"/>
          <w:szCs w:val="20"/>
        </w:rPr>
      </w:pPr>
    </w:p>
    <w:p w14:paraId="063F20C6" w14:textId="0CDC8A7B" w:rsidR="00887600" w:rsidRDefault="004C726F" w:rsidP="004C726F">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5F1A4E03" w:rsidR="00E60F03" w:rsidRPr="009546E7" w:rsidRDefault="007976EB" w:rsidP="00E60F03">
      <w:pPr>
        <w:pStyle w:val="Prrafodelista"/>
        <w:spacing w:after="0"/>
        <w:ind w:left="360"/>
        <w:rPr>
          <w:sz w:val="20"/>
          <w:szCs w:val="20"/>
        </w:rPr>
      </w:pPr>
      <w:r w:rsidRPr="007976EB">
        <w:rPr>
          <w:sz w:val="20"/>
          <w:szCs w:val="20"/>
        </w:rPr>
        <w:t>Tasa de no respuesta antes de imputación a nivel unidad de observación.</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6B0E769E" w14:textId="52334148" w:rsidR="007976EB" w:rsidRDefault="007976EB" w:rsidP="007976EB">
      <w:pPr>
        <w:pStyle w:val="Prrafodelista"/>
        <w:spacing w:after="0"/>
        <w:ind w:left="360"/>
        <w:jc w:val="both"/>
        <w:rPr>
          <w:sz w:val="20"/>
          <w:szCs w:val="20"/>
        </w:rPr>
      </w:pPr>
      <w:r w:rsidRPr="007976EB">
        <w:rPr>
          <w:sz w:val="20"/>
          <w:szCs w:val="20"/>
        </w:rPr>
        <w:t xml:space="preserve">Para el caso de </w:t>
      </w:r>
      <w:r>
        <w:rPr>
          <w:sz w:val="20"/>
          <w:szCs w:val="20"/>
        </w:rPr>
        <w:t>procesos de producción</w:t>
      </w:r>
      <w:r w:rsidRPr="007976EB">
        <w:rPr>
          <w:sz w:val="20"/>
          <w:szCs w:val="20"/>
        </w:rPr>
        <w:t xml:space="preserve"> con muestreo probabilístico o no probabilístico, el cálculo y publicación esta</w:t>
      </w:r>
      <w:r>
        <w:rPr>
          <w:sz w:val="20"/>
          <w:szCs w:val="20"/>
        </w:rPr>
        <w:t>n</w:t>
      </w:r>
      <w:r w:rsidRPr="007976EB">
        <w:rPr>
          <w:sz w:val="20"/>
          <w:szCs w:val="20"/>
        </w:rPr>
        <w:t>darizada del indicador se aplicará a los pro</w:t>
      </w:r>
      <w:r>
        <w:rPr>
          <w:sz w:val="20"/>
          <w:szCs w:val="20"/>
        </w:rPr>
        <w:t>cesos de producción</w:t>
      </w:r>
      <w:r w:rsidRPr="007976EB">
        <w:rPr>
          <w:sz w:val="20"/>
          <w:szCs w:val="20"/>
        </w:rPr>
        <w:t xml:space="preserve"> incluidos en el calendario de difusión 2018, conforme a lo acordado por el Comité de Aseguramiento de la Calidad.</w:t>
      </w:r>
    </w:p>
    <w:p w14:paraId="399DC569" w14:textId="77777777" w:rsidR="007976EB" w:rsidRPr="007976EB" w:rsidRDefault="007976EB" w:rsidP="007976EB">
      <w:pPr>
        <w:pStyle w:val="Prrafodelista"/>
        <w:spacing w:after="0"/>
        <w:ind w:left="360"/>
        <w:jc w:val="both"/>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7309DB1D" w14:textId="77777777" w:rsidR="007976EB" w:rsidRDefault="007976EB" w:rsidP="007976EB">
      <w:pPr>
        <w:pStyle w:val="Prrafodelista"/>
        <w:spacing w:after="0"/>
        <w:ind w:left="360"/>
        <w:jc w:val="both"/>
        <w:rPr>
          <w:sz w:val="20"/>
          <w:szCs w:val="20"/>
        </w:rPr>
      </w:pPr>
      <w:r w:rsidRPr="007976EB">
        <w:rPr>
          <w:sz w:val="20"/>
          <w:szCs w:val="20"/>
        </w:rPr>
        <w:t xml:space="preserve">El uso del indicador es combinado. De uso interno puede servir para la planeación de tareas operativas que permitan la reducción de la no respuesta y para analizar la conveniencia de usar métodos de imputación para presentar la información a publicar. De uso externo para tomar las precauciones necesarias al usar la información en caso de la presencia de patrones que pudieran indicar la existencia de un sesgo a causa de la no respuesta. La tasa de no respuesta se debe reportar a diferentes niveles de desagregación para que los usuarios de la información puedan estudiar la existencia del posible sesgo y, en caso de existir, tomar las precauciones necesarias al usar la información o bien usar metodologías que permitan mitigar el impacto.      </w:t>
      </w:r>
    </w:p>
    <w:p w14:paraId="6EF30E5D" w14:textId="6CAE3A92" w:rsidR="007976EB" w:rsidRPr="007976EB" w:rsidRDefault="007976EB" w:rsidP="007976EB">
      <w:pPr>
        <w:pStyle w:val="Prrafodelista"/>
        <w:spacing w:after="0"/>
        <w:ind w:left="360"/>
        <w:jc w:val="both"/>
        <w:rPr>
          <w:sz w:val="20"/>
          <w:szCs w:val="20"/>
        </w:rPr>
      </w:pPr>
      <w:r w:rsidRPr="007976EB">
        <w:rPr>
          <w:sz w:val="20"/>
          <w:szCs w:val="20"/>
        </w:rPr>
        <w:t xml:space="preserve">             </w:t>
      </w:r>
    </w:p>
    <w:p w14:paraId="0AA08F63" w14:textId="59DE7292" w:rsidR="009935FA" w:rsidRDefault="007976EB" w:rsidP="007976EB">
      <w:pPr>
        <w:pStyle w:val="Prrafodelista"/>
        <w:spacing w:after="0"/>
        <w:ind w:left="360"/>
        <w:jc w:val="both"/>
        <w:rPr>
          <w:b/>
          <w:bCs/>
          <w:sz w:val="20"/>
          <w:szCs w:val="20"/>
        </w:rPr>
      </w:pPr>
      <w:r w:rsidRPr="007976EB">
        <w:rPr>
          <w:sz w:val="20"/>
          <w:szCs w:val="20"/>
        </w:rPr>
        <w:t>Según el tipo de pro</w:t>
      </w:r>
      <w:r w:rsidR="00813DF1">
        <w:rPr>
          <w:sz w:val="20"/>
          <w:szCs w:val="20"/>
        </w:rPr>
        <w:t>ceso de producción</w:t>
      </w:r>
      <w:r w:rsidRPr="007976EB">
        <w:rPr>
          <w:sz w:val="20"/>
          <w:szCs w:val="20"/>
        </w:rPr>
        <w:t xml:space="preserve"> y unidad administrativa, se determinará su uso externo o interno para ciertos niveles de desagregación.</w:t>
      </w:r>
    </w:p>
    <w:p w14:paraId="577077BC" w14:textId="77777777" w:rsidR="009935FA" w:rsidRDefault="009935FA" w:rsidP="009935FA">
      <w:pPr>
        <w:pStyle w:val="Prrafodelista"/>
        <w:spacing w:after="0"/>
        <w:ind w:left="360"/>
        <w:rPr>
          <w:b/>
          <w:bCs/>
          <w:sz w:val="20"/>
          <w:szCs w:val="20"/>
        </w:rPr>
      </w:pPr>
    </w:p>
    <w:p w14:paraId="70570E26" w14:textId="77777777" w:rsidR="00EC5EB3" w:rsidRDefault="00EC5EB3" w:rsidP="009935FA">
      <w:pPr>
        <w:pStyle w:val="Prrafodelista"/>
        <w:spacing w:after="0"/>
        <w:ind w:left="360"/>
        <w:rPr>
          <w:b/>
          <w:bCs/>
          <w:sz w:val="20"/>
          <w:szCs w:val="20"/>
        </w:rPr>
      </w:pPr>
    </w:p>
    <w:p w14:paraId="125073BD" w14:textId="77777777" w:rsidR="00887600" w:rsidRDefault="00887600" w:rsidP="009935FA">
      <w:pPr>
        <w:pStyle w:val="Prrafodelista"/>
        <w:spacing w:after="0"/>
        <w:ind w:left="360"/>
        <w:rPr>
          <w:b/>
          <w:bCs/>
          <w:sz w:val="20"/>
          <w:szCs w:val="20"/>
        </w:rPr>
      </w:pPr>
    </w:p>
    <w:p w14:paraId="2458B918" w14:textId="77777777" w:rsidR="00887600" w:rsidRDefault="00887600" w:rsidP="009935FA">
      <w:pPr>
        <w:pStyle w:val="Prrafodelista"/>
        <w:spacing w:after="0"/>
        <w:ind w:left="360"/>
        <w:rPr>
          <w:b/>
          <w:bCs/>
          <w:sz w:val="20"/>
          <w:szCs w:val="20"/>
        </w:rPr>
      </w:pPr>
    </w:p>
    <w:p w14:paraId="1E703A77" w14:textId="77777777" w:rsidR="00EC5EB3" w:rsidRDefault="00EC5EB3"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lastRenderedPageBreak/>
        <w:t>Fuentes de la metodología y/o estándares utilizados en el cálculo del indicador:</w:t>
      </w:r>
    </w:p>
    <w:p w14:paraId="6D25D32E" w14:textId="5ED9C764" w:rsidR="007976EB" w:rsidRDefault="007976EB" w:rsidP="004C7FA7">
      <w:pPr>
        <w:pStyle w:val="Prrafodelista"/>
        <w:numPr>
          <w:ilvl w:val="0"/>
          <w:numId w:val="10"/>
        </w:numPr>
        <w:spacing w:after="0"/>
        <w:ind w:left="709"/>
        <w:rPr>
          <w:sz w:val="20"/>
          <w:szCs w:val="20"/>
        </w:rPr>
      </w:pPr>
      <w:r>
        <w:rPr>
          <w:sz w:val="20"/>
          <w:szCs w:val="20"/>
        </w:rPr>
        <w:t xml:space="preserve">Eurostat. </w:t>
      </w:r>
      <w:r w:rsidRPr="007976EB">
        <w:rPr>
          <w:sz w:val="20"/>
          <w:szCs w:val="20"/>
        </w:rPr>
        <w:t>ESS handbook for quality reports. 2014.</w:t>
      </w:r>
      <w:r>
        <w:rPr>
          <w:sz w:val="20"/>
          <w:szCs w:val="20"/>
        </w:rPr>
        <w:t xml:space="preserve"> </w:t>
      </w:r>
      <w:r w:rsidRPr="007976EB">
        <w:rPr>
          <w:sz w:val="20"/>
          <w:szCs w:val="20"/>
        </w:rPr>
        <w:t>Páginas 31‐79 y 124‐125.</w:t>
      </w:r>
      <w:r>
        <w:rPr>
          <w:sz w:val="20"/>
          <w:szCs w:val="20"/>
        </w:rPr>
        <w:t xml:space="preserve"> </w:t>
      </w:r>
      <w:hyperlink r:id="rId5" w:history="1">
        <w:r w:rsidRPr="00BC0AAB">
          <w:rPr>
            <w:rStyle w:val="Hipervnculo"/>
            <w:sz w:val="20"/>
            <w:szCs w:val="20"/>
          </w:rPr>
          <w:t>http://ec.europa.eu/eurostat/documents/38595</w:t>
        </w:r>
      </w:hyperlink>
      <w:r>
        <w:rPr>
          <w:sz w:val="20"/>
          <w:szCs w:val="20"/>
        </w:rPr>
        <w:t xml:space="preserve"> </w:t>
      </w:r>
    </w:p>
    <w:p w14:paraId="551C97CC" w14:textId="442025DF" w:rsidR="00335E4E" w:rsidRPr="004C7FA7" w:rsidRDefault="007976EB" w:rsidP="004C7FA7">
      <w:pPr>
        <w:pStyle w:val="Prrafodelista"/>
        <w:numPr>
          <w:ilvl w:val="0"/>
          <w:numId w:val="10"/>
        </w:numPr>
        <w:spacing w:after="0"/>
        <w:ind w:left="709"/>
        <w:rPr>
          <w:sz w:val="20"/>
          <w:szCs w:val="20"/>
        </w:rPr>
      </w:pPr>
      <w:r w:rsidRPr="007976EB">
        <w:rPr>
          <w:sz w:val="20"/>
          <w:szCs w:val="20"/>
        </w:rPr>
        <w:t>Office for National Statistics, UK.</w:t>
      </w:r>
      <w:r>
        <w:rPr>
          <w:sz w:val="20"/>
          <w:szCs w:val="20"/>
        </w:rPr>
        <w:t xml:space="preserve"> </w:t>
      </w:r>
      <w:r w:rsidRPr="007976EB">
        <w:rPr>
          <w:sz w:val="20"/>
          <w:szCs w:val="20"/>
        </w:rPr>
        <w:t>Guidelines for Measuring</w:t>
      </w:r>
      <w:r>
        <w:rPr>
          <w:sz w:val="20"/>
          <w:szCs w:val="20"/>
        </w:rPr>
        <w:t xml:space="preserve"> </w:t>
      </w:r>
      <w:r w:rsidRPr="007976EB">
        <w:rPr>
          <w:sz w:val="20"/>
          <w:szCs w:val="20"/>
        </w:rPr>
        <w:t>Statistical Output Quality. 2013. Página 28 y anexo A.</w:t>
      </w:r>
      <w:r>
        <w:rPr>
          <w:sz w:val="20"/>
          <w:szCs w:val="20"/>
        </w:rPr>
        <w:t xml:space="preserve"> </w:t>
      </w:r>
      <w:hyperlink r:id="rId6" w:history="1">
        <w:r w:rsidR="004C7FA7" w:rsidRPr="00BC0AAB">
          <w:rPr>
            <w:rStyle w:val="Hipervnculo"/>
            <w:sz w:val="20"/>
            <w:szCs w:val="20"/>
          </w:rPr>
          <w:t>https://www.statisticsauthority.gov.uk/wp‐content/uploads/2017/01/Guidelines‐for‐Measuring‐Statistical‐Outputs‐Quality.pdf</w:t>
        </w:r>
      </w:hyperlink>
      <w:r w:rsidR="004C7FA7">
        <w:rPr>
          <w:sz w:val="20"/>
          <w:szCs w:val="20"/>
        </w:rPr>
        <w:t xml:space="preserve"> </w:t>
      </w:r>
    </w:p>
    <w:p w14:paraId="0F0DD2D4" w14:textId="30A277F9" w:rsidR="009935FA" w:rsidRDefault="007976EB" w:rsidP="004C7FA7">
      <w:pPr>
        <w:pStyle w:val="Prrafodelista"/>
        <w:numPr>
          <w:ilvl w:val="0"/>
          <w:numId w:val="10"/>
        </w:numPr>
        <w:spacing w:after="0"/>
        <w:ind w:left="709"/>
        <w:rPr>
          <w:sz w:val="20"/>
          <w:szCs w:val="20"/>
        </w:rPr>
      </w:pPr>
      <w:r w:rsidRPr="007976EB">
        <w:rPr>
          <w:sz w:val="20"/>
          <w:szCs w:val="20"/>
        </w:rPr>
        <w:t>United Nations Economic Commission for Europe (UNECE)</w:t>
      </w:r>
      <w:r w:rsidR="009935FA">
        <w:rPr>
          <w:sz w:val="20"/>
          <w:szCs w:val="20"/>
        </w:rPr>
        <w:t>.</w:t>
      </w:r>
      <w:r>
        <w:rPr>
          <w:sz w:val="20"/>
          <w:szCs w:val="20"/>
        </w:rPr>
        <w:t xml:space="preserve"> </w:t>
      </w:r>
      <w:r w:rsidRPr="007976EB">
        <w:rPr>
          <w:sz w:val="20"/>
          <w:szCs w:val="20"/>
        </w:rPr>
        <w:t>Quality Indicators for the Generic Statistical Business Process Model (GSBPM) ‐ For Statistics derived from Surveys. 2016. Páginas 19, 21, 23, 24 y 48.</w:t>
      </w:r>
      <w:r w:rsidR="004C7FA7">
        <w:rPr>
          <w:sz w:val="20"/>
          <w:szCs w:val="20"/>
        </w:rPr>
        <w:t xml:space="preserve"> </w:t>
      </w:r>
      <w:hyperlink r:id="rId7" w:history="1">
        <w:r w:rsidR="004C7FA7" w:rsidRPr="00BC0AAB">
          <w:rPr>
            <w:rStyle w:val="Hipervnculo"/>
            <w:sz w:val="20"/>
            <w:szCs w:val="20"/>
          </w:rPr>
          <w:t>https://statswiki.unece.org/download/attachments/123142969/Quality%20Indicators%20for%20the%20Generic%20Statistical%20Business%20Process%20Model%20‐%20Version%201.0%20%2824%20May%202016%29.pdf?version=1&amp;modificationDate=1464621144300&amp;api=v2</w:t>
        </w:r>
      </w:hyperlink>
      <w:r w:rsidR="004C7FA7">
        <w:rPr>
          <w:sz w:val="20"/>
          <w:szCs w:val="20"/>
        </w:rPr>
        <w:t xml:space="preserve"> </w:t>
      </w:r>
    </w:p>
    <w:p w14:paraId="3407AC9B" w14:textId="7E58A7E8" w:rsidR="009935FA" w:rsidRDefault="007976EB" w:rsidP="004C7FA7">
      <w:pPr>
        <w:pStyle w:val="Prrafodelista"/>
        <w:numPr>
          <w:ilvl w:val="0"/>
          <w:numId w:val="10"/>
        </w:numPr>
        <w:spacing w:after="0"/>
        <w:ind w:left="709"/>
        <w:rPr>
          <w:sz w:val="20"/>
          <w:szCs w:val="20"/>
        </w:rPr>
      </w:pPr>
      <w:r w:rsidRPr="007976EB">
        <w:rPr>
          <w:sz w:val="20"/>
          <w:szCs w:val="20"/>
        </w:rPr>
        <w:t>Carl‐Erik Särndal et al.</w:t>
      </w:r>
      <w:r>
        <w:rPr>
          <w:sz w:val="20"/>
          <w:szCs w:val="20"/>
        </w:rPr>
        <w:t xml:space="preserve"> </w:t>
      </w:r>
      <w:r w:rsidRPr="007976EB">
        <w:rPr>
          <w:sz w:val="20"/>
          <w:szCs w:val="20"/>
        </w:rPr>
        <w:t>Model Assisted Survey Sampling, 2003. Capítulo 15.</w:t>
      </w:r>
    </w:p>
    <w:p w14:paraId="53B6CB83" w14:textId="7E18E8B3" w:rsidR="007976EB" w:rsidRDefault="007976EB" w:rsidP="004C7FA7">
      <w:pPr>
        <w:pStyle w:val="Prrafodelista"/>
        <w:numPr>
          <w:ilvl w:val="0"/>
          <w:numId w:val="10"/>
        </w:numPr>
        <w:spacing w:after="0"/>
        <w:ind w:left="709"/>
        <w:rPr>
          <w:sz w:val="20"/>
          <w:szCs w:val="20"/>
        </w:rPr>
      </w:pPr>
      <w:r w:rsidRPr="007976EB">
        <w:rPr>
          <w:sz w:val="20"/>
          <w:szCs w:val="20"/>
        </w:rPr>
        <w:t>Carl‐Erik Särndal y Sixten Lundström.</w:t>
      </w:r>
      <w:r>
        <w:rPr>
          <w:sz w:val="20"/>
          <w:szCs w:val="20"/>
        </w:rPr>
        <w:t xml:space="preserve"> </w:t>
      </w:r>
      <w:r w:rsidRPr="007976EB">
        <w:rPr>
          <w:sz w:val="20"/>
          <w:szCs w:val="20"/>
        </w:rPr>
        <w:t>Estimation in surveys with nonresponse, 2005. En particular capítulos 5 y 9.</w:t>
      </w:r>
    </w:p>
    <w:p w14:paraId="60BDC0B2" w14:textId="77777777" w:rsidR="007976EB" w:rsidRPr="00E60F03" w:rsidRDefault="007976EB" w:rsidP="007976EB">
      <w:pPr>
        <w:pStyle w:val="Prrafodelista"/>
        <w:spacing w:after="0"/>
        <w:ind w:left="1080"/>
        <w:rPr>
          <w:sz w:val="20"/>
          <w:szCs w:val="20"/>
        </w:rPr>
      </w:pPr>
    </w:p>
    <w:p w14:paraId="5E2D69CE" w14:textId="34626E48" w:rsidR="00E60F03" w:rsidRDefault="0026114F"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67DC180E" w14:textId="77777777" w:rsidR="004C7FA7" w:rsidRPr="00464252" w:rsidRDefault="004C7FA7" w:rsidP="004C7FA7">
      <w:pPr>
        <w:pStyle w:val="Prrafodelista"/>
        <w:spacing w:after="0"/>
        <w:ind w:left="360"/>
        <w:rPr>
          <w:sz w:val="20"/>
          <w:szCs w:val="20"/>
        </w:rPr>
      </w:pPr>
      <w:r w:rsidRPr="00A50F8D">
        <w:rPr>
          <w:sz w:val="20"/>
          <w:szCs w:val="20"/>
        </w:rPr>
        <w:t>Gonzalo Pérez de la Cruz</w:t>
      </w:r>
      <w:r w:rsidRPr="00464252">
        <w:rPr>
          <w:sz w:val="20"/>
          <w:szCs w:val="20"/>
        </w:rPr>
        <w:t>, director</w:t>
      </w:r>
      <w:r>
        <w:rPr>
          <w:sz w:val="20"/>
          <w:szCs w:val="20"/>
        </w:rPr>
        <w:t xml:space="preserve"> en la Coordinación de asesores</w:t>
      </w:r>
      <w:r w:rsidRPr="00464252">
        <w:rPr>
          <w:sz w:val="20"/>
          <w:szCs w:val="20"/>
        </w:rPr>
        <w:t>.</w:t>
      </w:r>
    </w:p>
    <w:p w14:paraId="27212629" w14:textId="77820378" w:rsidR="00464252" w:rsidRPr="00464252" w:rsidRDefault="00A50F8D" w:rsidP="00A50F8D">
      <w:pPr>
        <w:pStyle w:val="Prrafodelista"/>
        <w:spacing w:after="0"/>
        <w:ind w:left="360"/>
        <w:rPr>
          <w:sz w:val="20"/>
          <w:szCs w:val="20"/>
        </w:rPr>
      </w:pPr>
      <w:r w:rsidRPr="00A50F8D">
        <w:rPr>
          <w:sz w:val="20"/>
          <w:szCs w:val="20"/>
        </w:rPr>
        <w:t>Araceli Martínez Gama</w:t>
      </w:r>
      <w:r w:rsidR="00464252" w:rsidRPr="00464252">
        <w:rPr>
          <w:sz w:val="20"/>
          <w:szCs w:val="20"/>
        </w:rPr>
        <w:t xml:space="preserve">, </w:t>
      </w:r>
      <w:r>
        <w:rPr>
          <w:sz w:val="20"/>
          <w:szCs w:val="20"/>
        </w:rPr>
        <w:t>directora de</w:t>
      </w:r>
      <w:r w:rsidRPr="00A50F8D">
        <w:rPr>
          <w:sz w:val="20"/>
          <w:szCs w:val="20"/>
        </w:rPr>
        <w:t xml:space="preserve"> Marcos y Muestreo, Dirección General de Estadísticas Económicas</w:t>
      </w:r>
      <w:r w:rsidR="00464252" w:rsidRPr="00464252">
        <w:rPr>
          <w:sz w:val="20"/>
          <w:szCs w:val="20"/>
        </w:rPr>
        <w:t>.</w:t>
      </w:r>
    </w:p>
    <w:p w14:paraId="6C8EA146" w14:textId="6D45A145" w:rsidR="00464252" w:rsidRDefault="00A50F8D" w:rsidP="00A50F8D">
      <w:pPr>
        <w:pStyle w:val="Prrafodelista"/>
        <w:spacing w:after="0"/>
        <w:ind w:left="360"/>
        <w:rPr>
          <w:sz w:val="20"/>
          <w:szCs w:val="20"/>
        </w:rPr>
      </w:pPr>
      <w:r w:rsidRPr="00A50F8D">
        <w:rPr>
          <w:sz w:val="20"/>
          <w:szCs w:val="20"/>
        </w:rPr>
        <w:t>José de Jesús Jiménez Martínez</w:t>
      </w:r>
      <w:r w:rsidR="00464252" w:rsidRPr="00464252">
        <w:rPr>
          <w:sz w:val="20"/>
          <w:szCs w:val="20"/>
        </w:rPr>
        <w:t xml:space="preserve">, </w:t>
      </w:r>
      <w:r>
        <w:rPr>
          <w:sz w:val="20"/>
          <w:szCs w:val="20"/>
        </w:rPr>
        <w:t>s</w:t>
      </w:r>
      <w:r w:rsidRPr="00A50F8D">
        <w:rPr>
          <w:sz w:val="20"/>
          <w:szCs w:val="20"/>
        </w:rPr>
        <w:t>ubdirec</w:t>
      </w:r>
      <w:r>
        <w:rPr>
          <w:sz w:val="20"/>
          <w:szCs w:val="20"/>
        </w:rPr>
        <w:t>tor</w:t>
      </w:r>
      <w:r w:rsidRPr="00A50F8D">
        <w:rPr>
          <w:sz w:val="20"/>
          <w:szCs w:val="20"/>
        </w:rPr>
        <w:t xml:space="preserve"> de Diseño Estadístico</w:t>
      </w:r>
      <w:r>
        <w:rPr>
          <w:sz w:val="20"/>
          <w:szCs w:val="20"/>
        </w:rPr>
        <w:t>.</w:t>
      </w:r>
      <w:r w:rsidRPr="00A50F8D">
        <w:rPr>
          <w:sz w:val="20"/>
          <w:szCs w:val="20"/>
        </w:rPr>
        <w:t xml:space="preserve"> Dirección General de Estadísticas Económicas</w:t>
      </w:r>
      <w:r w:rsidR="00464252" w:rsidRPr="00464252">
        <w:rPr>
          <w:sz w:val="20"/>
          <w:szCs w:val="20"/>
        </w:rPr>
        <w:t>.</w:t>
      </w:r>
    </w:p>
    <w:p w14:paraId="3877D5AE" w14:textId="1E118C5B" w:rsidR="00A50F8D" w:rsidRDefault="00A50F8D" w:rsidP="00A50F8D">
      <w:pPr>
        <w:pStyle w:val="Prrafodelista"/>
        <w:spacing w:after="0"/>
        <w:ind w:left="360"/>
        <w:rPr>
          <w:sz w:val="20"/>
          <w:szCs w:val="20"/>
        </w:rPr>
      </w:pPr>
      <w:r w:rsidRPr="00A50F8D">
        <w:rPr>
          <w:sz w:val="20"/>
          <w:szCs w:val="20"/>
        </w:rPr>
        <w:t>Sofia Isabel Pérez Gutiérrez</w:t>
      </w:r>
      <w:r>
        <w:rPr>
          <w:sz w:val="20"/>
          <w:szCs w:val="20"/>
        </w:rPr>
        <w:t>, jefa del d</w:t>
      </w:r>
      <w:r w:rsidRPr="00A50F8D">
        <w:rPr>
          <w:sz w:val="20"/>
          <w:szCs w:val="20"/>
        </w:rPr>
        <w:t>epartamento de Diseño Muestral de</w:t>
      </w:r>
      <w:r>
        <w:rPr>
          <w:sz w:val="20"/>
          <w:szCs w:val="20"/>
        </w:rPr>
        <w:t xml:space="preserve"> </w:t>
      </w:r>
      <w:r w:rsidRPr="00A50F8D">
        <w:rPr>
          <w:sz w:val="20"/>
          <w:szCs w:val="20"/>
        </w:rPr>
        <w:t>Encuestas Continuas</w:t>
      </w:r>
      <w:r>
        <w:rPr>
          <w:sz w:val="20"/>
          <w:szCs w:val="20"/>
        </w:rPr>
        <w:t>.</w:t>
      </w:r>
      <w:r w:rsidRPr="00A50F8D">
        <w:rPr>
          <w:sz w:val="20"/>
          <w:szCs w:val="20"/>
        </w:rPr>
        <w:t xml:space="preserve"> </w:t>
      </w:r>
      <w:r>
        <w:rPr>
          <w:sz w:val="20"/>
          <w:szCs w:val="20"/>
        </w:rPr>
        <w:t>D</w:t>
      </w:r>
      <w:r w:rsidRPr="00A50F8D">
        <w:rPr>
          <w:sz w:val="20"/>
          <w:szCs w:val="20"/>
        </w:rPr>
        <w:t>irección General de Estadísticas Económicas</w:t>
      </w:r>
      <w:r>
        <w:rPr>
          <w:sz w:val="20"/>
          <w:szCs w:val="20"/>
        </w:rPr>
        <w:t>.</w:t>
      </w:r>
    </w:p>
    <w:p w14:paraId="64737715" w14:textId="0D9A6E4F" w:rsidR="00A50F8D" w:rsidRDefault="00A50F8D" w:rsidP="00A50F8D">
      <w:pPr>
        <w:pStyle w:val="Prrafodelista"/>
        <w:spacing w:after="0"/>
        <w:ind w:left="360"/>
        <w:rPr>
          <w:sz w:val="20"/>
          <w:szCs w:val="20"/>
        </w:rPr>
      </w:pPr>
      <w:r w:rsidRPr="00A50F8D">
        <w:rPr>
          <w:sz w:val="20"/>
          <w:szCs w:val="20"/>
        </w:rPr>
        <w:t>Mario Alberto Santillana Zapata</w:t>
      </w:r>
      <w:r>
        <w:rPr>
          <w:sz w:val="20"/>
          <w:szCs w:val="20"/>
        </w:rPr>
        <w:t>, d</w:t>
      </w:r>
      <w:r w:rsidRPr="00A50F8D">
        <w:rPr>
          <w:sz w:val="20"/>
          <w:szCs w:val="20"/>
        </w:rPr>
        <w:t>irec</w:t>
      </w:r>
      <w:r>
        <w:rPr>
          <w:sz w:val="20"/>
          <w:szCs w:val="20"/>
        </w:rPr>
        <w:t>tor</w:t>
      </w:r>
      <w:r w:rsidRPr="00A50F8D">
        <w:rPr>
          <w:sz w:val="20"/>
          <w:szCs w:val="20"/>
        </w:rPr>
        <w:t xml:space="preserve"> </w:t>
      </w:r>
      <w:r w:rsidR="004C7FA7">
        <w:rPr>
          <w:sz w:val="20"/>
          <w:szCs w:val="20"/>
        </w:rPr>
        <w:t xml:space="preserve">general adjunto </w:t>
      </w:r>
      <w:r w:rsidRPr="00A50F8D">
        <w:rPr>
          <w:sz w:val="20"/>
          <w:szCs w:val="20"/>
        </w:rPr>
        <w:t>de Modelos de Información Gubernamental</w:t>
      </w:r>
      <w:r>
        <w:rPr>
          <w:sz w:val="20"/>
          <w:szCs w:val="20"/>
        </w:rPr>
        <w:t>.</w:t>
      </w:r>
      <w:r w:rsidRPr="00A50F8D">
        <w:rPr>
          <w:sz w:val="20"/>
          <w:szCs w:val="20"/>
        </w:rPr>
        <w:t xml:space="preserve"> Dirección General de Estadísticas de Gobierno, Seguridad Pública y Justicia</w:t>
      </w:r>
      <w:r>
        <w:rPr>
          <w:sz w:val="20"/>
          <w:szCs w:val="20"/>
        </w:rPr>
        <w:t>.</w:t>
      </w:r>
    </w:p>
    <w:p w14:paraId="3633671F" w14:textId="50A0BE67" w:rsidR="00A50F8D" w:rsidRDefault="00A50F8D" w:rsidP="00DF5B40">
      <w:pPr>
        <w:pStyle w:val="Prrafodelista"/>
        <w:spacing w:after="0"/>
        <w:ind w:left="360"/>
        <w:rPr>
          <w:sz w:val="20"/>
          <w:szCs w:val="20"/>
        </w:rPr>
      </w:pPr>
      <w:r w:rsidRPr="00A50F8D">
        <w:rPr>
          <w:sz w:val="20"/>
          <w:szCs w:val="20"/>
        </w:rPr>
        <w:t>Gerardo Barragán Romero</w:t>
      </w:r>
      <w:r>
        <w:rPr>
          <w:sz w:val="20"/>
          <w:szCs w:val="20"/>
        </w:rPr>
        <w:t xml:space="preserve">, </w:t>
      </w:r>
      <w:r w:rsidR="00DF5B40">
        <w:rPr>
          <w:sz w:val="20"/>
          <w:szCs w:val="20"/>
        </w:rPr>
        <w:t>s</w:t>
      </w:r>
      <w:r w:rsidR="00DF5B40" w:rsidRPr="00DF5B40">
        <w:rPr>
          <w:sz w:val="20"/>
          <w:szCs w:val="20"/>
        </w:rPr>
        <w:t>ubdirec</w:t>
      </w:r>
      <w:r w:rsidR="00DF5B40">
        <w:rPr>
          <w:sz w:val="20"/>
          <w:szCs w:val="20"/>
        </w:rPr>
        <w:t>tor</w:t>
      </w:r>
      <w:r w:rsidR="00DF5B40" w:rsidRPr="00DF5B40">
        <w:rPr>
          <w:sz w:val="20"/>
          <w:szCs w:val="20"/>
        </w:rPr>
        <w:t xml:space="preserve"> de Diseño Estadístico e Implementación de Encuestas Nacionales de Gobierno</w:t>
      </w:r>
      <w:r w:rsidR="00DF5B40">
        <w:rPr>
          <w:sz w:val="20"/>
          <w:szCs w:val="20"/>
        </w:rPr>
        <w:t>.</w:t>
      </w:r>
      <w:r w:rsidR="00DF5B40" w:rsidRPr="00DF5B40">
        <w:rPr>
          <w:sz w:val="20"/>
          <w:szCs w:val="20"/>
        </w:rPr>
        <w:t xml:space="preserve"> Dirección General de Estadísticas de Gobierno, Seguridad Pública y Justicia</w:t>
      </w:r>
      <w:r w:rsidR="00DF5B40">
        <w:rPr>
          <w:sz w:val="20"/>
          <w:szCs w:val="20"/>
        </w:rPr>
        <w:t>.</w:t>
      </w:r>
    </w:p>
    <w:p w14:paraId="6685A7ED" w14:textId="6943DBBF" w:rsidR="00DF5B40" w:rsidRDefault="00DF5B40" w:rsidP="00DF5B40">
      <w:pPr>
        <w:pStyle w:val="Prrafodelista"/>
        <w:spacing w:after="0"/>
        <w:ind w:left="360"/>
        <w:rPr>
          <w:sz w:val="20"/>
          <w:szCs w:val="20"/>
        </w:rPr>
      </w:pPr>
      <w:r w:rsidRPr="00DF5B40">
        <w:rPr>
          <w:sz w:val="20"/>
          <w:szCs w:val="20"/>
        </w:rPr>
        <w:t>Octavio Heredia Hernández</w:t>
      </w:r>
      <w:r>
        <w:rPr>
          <w:sz w:val="20"/>
          <w:szCs w:val="20"/>
        </w:rPr>
        <w:t>, d</w:t>
      </w:r>
      <w:r w:rsidRPr="00DF5B40">
        <w:rPr>
          <w:sz w:val="20"/>
          <w:szCs w:val="20"/>
        </w:rPr>
        <w:t>irec</w:t>
      </w:r>
      <w:r>
        <w:rPr>
          <w:sz w:val="20"/>
          <w:szCs w:val="20"/>
        </w:rPr>
        <w:t>tor</w:t>
      </w:r>
      <w:r w:rsidRPr="00DF5B40">
        <w:rPr>
          <w:sz w:val="20"/>
          <w:szCs w:val="20"/>
        </w:rPr>
        <w:t xml:space="preserve"> </w:t>
      </w:r>
      <w:r w:rsidR="004C7FA7">
        <w:rPr>
          <w:sz w:val="20"/>
          <w:szCs w:val="20"/>
        </w:rPr>
        <w:t xml:space="preserve">general adjunto </w:t>
      </w:r>
      <w:r w:rsidRPr="00DF5B40">
        <w:rPr>
          <w:sz w:val="20"/>
          <w:szCs w:val="20"/>
        </w:rPr>
        <w:t>de Diseño y Marcos Estadísticos</w:t>
      </w:r>
      <w:r>
        <w:rPr>
          <w:sz w:val="20"/>
          <w:szCs w:val="20"/>
        </w:rPr>
        <w:t>.</w:t>
      </w:r>
      <w:r w:rsidRPr="00DF5B40">
        <w:rPr>
          <w:sz w:val="20"/>
          <w:szCs w:val="20"/>
        </w:rPr>
        <w:t xml:space="preserve"> Dirección General de Estadísticas Sociodemográficas</w:t>
      </w:r>
      <w:r>
        <w:rPr>
          <w:sz w:val="20"/>
          <w:szCs w:val="20"/>
        </w:rPr>
        <w:t>.</w:t>
      </w:r>
    </w:p>
    <w:p w14:paraId="37B7E9F4" w14:textId="5F26E4D5" w:rsidR="00DF5B40" w:rsidRPr="00DF5B40" w:rsidRDefault="00DF5B40" w:rsidP="00DF5B40">
      <w:pPr>
        <w:pStyle w:val="Prrafodelista"/>
        <w:spacing w:after="0"/>
        <w:ind w:left="360"/>
        <w:rPr>
          <w:sz w:val="20"/>
          <w:szCs w:val="20"/>
        </w:rPr>
      </w:pPr>
      <w:r w:rsidRPr="00DF5B40">
        <w:rPr>
          <w:sz w:val="20"/>
          <w:szCs w:val="20"/>
        </w:rPr>
        <w:t>Jaime Mojíca Cuevas</w:t>
      </w:r>
      <w:r>
        <w:rPr>
          <w:sz w:val="20"/>
          <w:szCs w:val="20"/>
        </w:rPr>
        <w:t>, s</w:t>
      </w:r>
      <w:r w:rsidRPr="00DF5B40">
        <w:rPr>
          <w:sz w:val="20"/>
          <w:szCs w:val="20"/>
        </w:rPr>
        <w:t>ubdirec</w:t>
      </w:r>
      <w:r>
        <w:rPr>
          <w:sz w:val="20"/>
          <w:szCs w:val="20"/>
        </w:rPr>
        <w:t>tor</w:t>
      </w:r>
      <w:r w:rsidRPr="00DF5B40">
        <w:rPr>
          <w:sz w:val="20"/>
          <w:szCs w:val="20"/>
        </w:rPr>
        <w:t xml:space="preserve"> de Diseño Muestral de Vivienda</w:t>
      </w:r>
      <w:r>
        <w:rPr>
          <w:sz w:val="20"/>
          <w:szCs w:val="20"/>
        </w:rPr>
        <w:t xml:space="preserve">. </w:t>
      </w:r>
      <w:r w:rsidRPr="00DF5B40">
        <w:rPr>
          <w:sz w:val="20"/>
          <w:szCs w:val="20"/>
        </w:rPr>
        <w:t xml:space="preserve">Dirección General de Estadísticas </w:t>
      </w:r>
    </w:p>
    <w:p w14:paraId="0D88A345" w14:textId="7225B47D" w:rsidR="00DF5B40" w:rsidRDefault="00DF5B40" w:rsidP="00DF5B40">
      <w:pPr>
        <w:pStyle w:val="Prrafodelista"/>
        <w:spacing w:after="0"/>
        <w:ind w:left="360"/>
        <w:rPr>
          <w:sz w:val="20"/>
          <w:szCs w:val="20"/>
        </w:rPr>
      </w:pPr>
      <w:r w:rsidRPr="00DF5B40">
        <w:rPr>
          <w:sz w:val="20"/>
          <w:szCs w:val="20"/>
        </w:rPr>
        <w:t>Sociodemográficas</w:t>
      </w:r>
      <w:r>
        <w:rPr>
          <w:sz w:val="20"/>
          <w:szCs w:val="20"/>
        </w:rPr>
        <w:t>.</w:t>
      </w:r>
    </w:p>
    <w:p w14:paraId="6C5EC231" w14:textId="3F5EFD5D" w:rsidR="00DF5B40" w:rsidRDefault="00DF5B40" w:rsidP="00DF5B40">
      <w:pPr>
        <w:pStyle w:val="Prrafodelista"/>
        <w:spacing w:after="0"/>
        <w:ind w:left="360"/>
        <w:rPr>
          <w:sz w:val="20"/>
          <w:szCs w:val="20"/>
        </w:rPr>
      </w:pPr>
      <w:r w:rsidRPr="00DF5B40">
        <w:rPr>
          <w:sz w:val="20"/>
          <w:szCs w:val="20"/>
        </w:rPr>
        <w:t>Noriki Armando Ibarra Medina</w:t>
      </w:r>
      <w:r>
        <w:rPr>
          <w:sz w:val="20"/>
          <w:szCs w:val="20"/>
        </w:rPr>
        <w:t>, jefe del departamento</w:t>
      </w:r>
      <w:r w:rsidRPr="00DF5B40">
        <w:rPr>
          <w:sz w:val="20"/>
          <w:szCs w:val="20"/>
        </w:rPr>
        <w:t xml:space="preserve"> de Selección y Control de Muestras Regulares, Dirección General de Estadísticas Sociodemográficas</w:t>
      </w:r>
      <w:r>
        <w:rPr>
          <w:sz w:val="20"/>
          <w:szCs w:val="20"/>
        </w:rPr>
        <w:t>.</w:t>
      </w:r>
    </w:p>
    <w:p w14:paraId="145E06ED" w14:textId="13428075" w:rsidR="00DF5B40" w:rsidRDefault="00DF5B40" w:rsidP="00DF5B40">
      <w:pPr>
        <w:pStyle w:val="Prrafodelista"/>
        <w:spacing w:after="0"/>
        <w:ind w:left="360"/>
        <w:rPr>
          <w:sz w:val="20"/>
          <w:szCs w:val="20"/>
        </w:rPr>
      </w:pPr>
      <w:r w:rsidRPr="00DF5B40">
        <w:rPr>
          <w:sz w:val="20"/>
          <w:szCs w:val="20"/>
        </w:rPr>
        <w:t>Fabián García Montaño</w:t>
      </w:r>
      <w:r>
        <w:rPr>
          <w:sz w:val="20"/>
          <w:szCs w:val="20"/>
        </w:rPr>
        <w:t>, s</w:t>
      </w:r>
      <w:r w:rsidRPr="00DF5B40">
        <w:rPr>
          <w:sz w:val="20"/>
          <w:szCs w:val="20"/>
        </w:rPr>
        <w:t>ubdirec</w:t>
      </w:r>
      <w:r>
        <w:rPr>
          <w:sz w:val="20"/>
          <w:szCs w:val="20"/>
        </w:rPr>
        <w:t>tor</w:t>
      </w:r>
      <w:r w:rsidRPr="00DF5B40">
        <w:rPr>
          <w:sz w:val="20"/>
          <w:szCs w:val="20"/>
        </w:rPr>
        <w:t xml:space="preserve"> de Planeación, Análisis y Seguimiento</w:t>
      </w:r>
      <w:r>
        <w:rPr>
          <w:sz w:val="20"/>
          <w:szCs w:val="20"/>
        </w:rPr>
        <w:t>.</w:t>
      </w:r>
      <w:r w:rsidRPr="00DF5B40">
        <w:rPr>
          <w:sz w:val="20"/>
          <w:szCs w:val="20"/>
        </w:rPr>
        <w:t xml:space="preserve"> Dirección General de Geografía y Medio Ambiente</w:t>
      </w:r>
      <w:r>
        <w:rPr>
          <w:sz w:val="20"/>
          <w:szCs w:val="20"/>
        </w:rPr>
        <w:t>.</w:t>
      </w:r>
    </w:p>
    <w:p w14:paraId="2AE84F5F" w14:textId="6547D501" w:rsidR="00DF5B40" w:rsidRDefault="00DF5B40" w:rsidP="00DF5B40">
      <w:pPr>
        <w:pStyle w:val="Prrafodelista"/>
        <w:spacing w:after="0"/>
        <w:ind w:left="360"/>
        <w:rPr>
          <w:sz w:val="20"/>
          <w:szCs w:val="20"/>
        </w:rPr>
      </w:pPr>
      <w:r w:rsidRPr="00DF5B40">
        <w:rPr>
          <w:sz w:val="20"/>
          <w:szCs w:val="20"/>
        </w:rPr>
        <w:t>Hortencia Medina Uribe</w:t>
      </w:r>
      <w:r>
        <w:rPr>
          <w:sz w:val="20"/>
          <w:szCs w:val="20"/>
        </w:rPr>
        <w:t>, s</w:t>
      </w:r>
      <w:r w:rsidRPr="00DF5B40">
        <w:rPr>
          <w:sz w:val="20"/>
          <w:szCs w:val="20"/>
        </w:rPr>
        <w:t>ubdirec</w:t>
      </w:r>
      <w:r>
        <w:rPr>
          <w:sz w:val="20"/>
          <w:szCs w:val="20"/>
        </w:rPr>
        <w:t>tora</w:t>
      </w:r>
      <w:r w:rsidRPr="00DF5B40">
        <w:rPr>
          <w:sz w:val="20"/>
          <w:szCs w:val="20"/>
        </w:rPr>
        <w:t xml:space="preserve"> de Estadísticas Ambientales en Actividades Económicas y Hogares</w:t>
      </w:r>
      <w:r>
        <w:rPr>
          <w:sz w:val="20"/>
          <w:szCs w:val="20"/>
        </w:rPr>
        <w:t>.</w:t>
      </w:r>
      <w:r w:rsidRPr="00DF5B40">
        <w:rPr>
          <w:sz w:val="20"/>
          <w:szCs w:val="20"/>
        </w:rPr>
        <w:t xml:space="preserve"> Dirección General de Geografía y Medio Ambiente</w:t>
      </w:r>
      <w:r>
        <w:rPr>
          <w:sz w:val="20"/>
          <w:szCs w:val="20"/>
        </w:rPr>
        <w:t>.</w:t>
      </w:r>
    </w:p>
    <w:p w14:paraId="7AD99932" w14:textId="005BF1EE" w:rsidR="00DF5B40" w:rsidRPr="00DF5B40" w:rsidRDefault="00DF5B40" w:rsidP="00DF5B40">
      <w:pPr>
        <w:pStyle w:val="Prrafodelista"/>
        <w:spacing w:after="0"/>
        <w:ind w:left="360"/>
        <w:rPr>
          <w:sz w:val="20"/>
          <w:szCs w:val="20"/>
        </w:rPr>
      </w:pPr>
      <w:r w:rsidRPr="00DF5B40">
        <w:rPr>
          <w:sz w:val="20"/>
          <w:szCs w:val="20"/>
        </w:rPr>
        <w:t>Hugo Reginaldo Correa Bayardo</w:t>
      </w:r>
      <w:r>
        <w:rPr>
          <w:sz w:val="20"/>
          <w:szCs w:val="20"/>
        </w:rPr>
        <w:t>, jefe del d</w:t>
      </w:r>
      <w:r w:rsidRPr="00DF5B40">
        <w:rPr>
          <w:sz w:val="20"/>
          <w:szCs w:val="20"/>
        </w:rPr>
        <w:t>epartamento de Análisis y Gestión del</w:t>
      </w:r>
    </w:p>
    <w:p w14:paraId="56636ED4" w14:textId="44D96A0C" w:rsidR="00DF5B40" w:rsidRPr="00464252" w:rsidRDefault="00DF5B40" w:rsidP="00DF5B40">
      <w:pPr>
        <w:pStyle w:val="Prrafodelista"/>
        <w:spacing w:after="0"/>
        <w:ind w:left="360"/>
        <w:rPr>
          <w:sz w:val="20"/>
          <w:szCs w:val="20"/>
        </w:rPr>
      </w:pPr>
      <w:r w:rsidRPr="00DF5B40">
        <w:rPr>
          <w:sz w:val="20"/>
          <w:szCs w:val="20"/>
        </w:rPr>
        <w:t>Subsistema</w:t>
      </w:r>
      <w:r>
        <w:rPr>
          <w:sz w:val="20"/>
          <w:szCs w:val="20"/>
        </w:rPr>
        <w:t>.</w:t>
      </w:r>
      <w:r w:rsidRPr="00DF5B40">
        <w:rPr>
          <w:sz w:val="20"/>
          <w:szCs w:val="20"/>
        </w:rPr>
        <w:t xml:space="preserve"> Vicepresidencia de Información Demográfica y Social</w:t>
      </w:r>
      <w:r>
        <w:rPr>
          <w:sz w:val="20"/>
          <w:szCs w:val="20"/>
        </w:rPr>
        <w:t>.</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5080EE18" w:rsidR="00100E12" w:rsidRDefault="00DF5B40" w:rsidP="00100E12">
      <w:pPr>
        <w:pStyle w:val="Prrafodelista"/>
        <w:spacing w:after="0"/>
        <w:ind w:left="360"/>
        <w:rPr>
          <w:sz w:val="20"/>
          <w:szCs w:val="20"/>
        </w:rPr>
      </w:pPr>
      <w:r w:rsidRPr="00DF5B40">
        <w:rPr>
          <w:sz w:val="20"/>
          <w:szCs w:val="20"/>
        </w:rPr>
        <w:t>Difusión externa: Página Web del INEGI, según pro</w:t>
      </w:r>
      <w:r>
        <w:rPr>
          <w:sz w:val="20"/>
          <w:szCs w:val="20"/>
        </w:rPr>
        <w:t>ceso y a</w:t>
      </w:r>
      <w:r w:rsidRPr="00DF5B40">
        <w:rPr>
          <w:sz w:val="20"/>
          <w:szCs w:val="20"/>
        </w:rPr>
        <w:t xml:space="preserve">partado de </w:t>
      </w:r>
      <w:r>
        <w:rPr>
          <w:sz w:val="20"/>
          <w:szCs w:val="20"/>
        </w:rPr>
        <w:t>e</w:t>
      </w:r>
      <w:r w:rsidRPr="00DF5B40">
        <w:rPr>
          <w:sz w:val="20"/>
          <w:szCs w:val="20"/>
        </w:rPr>
        <w:t>valuación estadística de la calidad de los datos en la Red Nacional de Metadatos para cada pro</w:t>
      </w:r>
      <w:r>
        <w:rPr>
          <w:sz w:val="20"/>
          <w:szCs w:val="20"/>
        </w:rPr>
        <w:t>ceso de producción.</w:t>
      </w:r>
    </w:p>
    <w:p w14:paraId="5B28E2E4" w14:textId="77777777" w:rsidR="00DF5B40" w:rsidRDefault="00DF5B40" w:rsidP="00100E12">
      <w:pPr>
        <w:pStyle w:val="Prrafodelista"/>
        <w:spacing w:after="0"/>
        <w:ind w:left="360"/>
        <w:rPr>
          <w:sz w:val="20"/>
          <w:szCs w:val="20"/>
        </w:rPr>
      </w:pPr>
    </w:p>
    <w:p w14:paraId="06672C06" w14:textId="77777777" w:rsidR="00EC5EB3" w:rsidRDefault="00EC5EB3" w:rsidP="00100E12">
      <w:pPr>
        <w:pStyle w:val="Prrafodelista"/>
        <w:spacing w:after="0"/>
        <w:ind w:left="360"/>
        <w:rPr>
          <w:sz w:val="20"/>
          <w:szCs w:val="20"/>
        </w:rPr>
      </w:pPr>
    </w:p>
    <w:p w14:paraId="49A735FA" w14:textId="77777777" w:rsidR="006E768E" w:rsidRPr="00100E12" w:rsidRDefault="006E768E"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lastRenderedPageBreak/>
        <w:t>Fecha de integración de la ficha:</w:t>
      </w:r>
    </w:p>
    <w:p w14:paraId="4E72E405" w14:textId="23881F08" w:rsidR="00100E12" w:rsidRDefault="00DF5B40" w:rsidP="00100E12">
      <w:pPr>
        <w:pStyle w:val="Prrafodelista"/>
        <w:spacing w:after="0"/>
        <w:ind w:left="360"/>
        <w:rPr>
          <w:sz w:val="20"/>
          <w:szCs w:val="20"/>
        </w:rPr>
      </w:pPr>
      <w:r>
        <w:rPr>
          <w:sz w:val="20"/>
          <w:szCs w:val="20"/>
        </w:rPr>
        <w:t>20</w:t>
      </w:r>
      <w:r w:rsidR="00100E12" w:rsidRPr="00100E12">
        <w:rPr>
          <w:sz w:val="20"/>
          <w:szCs w:val="20"/>
        </w:rPr>
        <w:t>/1</w:t>
      </w:r>
      <w:r>
        <w:rPr>
          <w:sz w:val="20"/>
          <w:szCs w:val="20"/>
        </w:rPr>
        <w:t>0</w:t>
      </w:r>
      <w:r w:rsidR="00100E12" w:rsidRPr="00100E12">
        <w:rPr>
          <w:sz w:val="20"/>
          <w:szCs w:val="20"/>
        </w:rPr>
        <w:t>/201</w:t>
      </w:r>
      <w:r>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5AA73B41" w14:textId="77777777" w:rsidR="00FE5872" w:rsidRDefault="00FE5872"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81A440E"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sidR="007E42EE">
        <w:rPr>
          <w:rFonts w:ascii="Calibri" w:eastAsia="Times New Roman" w:hAnsi="Calibri" w:cs="Calibri"/>
          <w:color w:val="000000"/>
          <w:kern w:val="0"/>
          <w:sz w:val="20"/>
          <w:szCs w:val="20"/>
          <w:lang w:eastAsia="es-MX"/>
          <w14:ligatures w14:val="none"/>
        </w:rPr>
        <w:t>, encuesta probabilística</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73B8D356" w:rsidR="0097395E" w:rsidRPr="0097395E" w:rsidRDefault="007E42EE" w:rsidP="00362EE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La no respuesta o existencia de valores perdidos está presente en todo pro</w:t>
      </w:r>
      <w:r>
        <w:rPr>
          <w:rFonts w:ascii="Calibri" w:eastAsia="Times New Roman" w:hAnsi="Calibri" w:cs="Calibri"/>
          <w:color w:val="000000"/>
          <w:kern w:val="0"/>
          <w:sz w:val="20"/>
          <w:szCs w:val="20"/>
          <w:lang w:eastAsia="es-MX"/>
          <w14:ligatures w14:val="none"/>
        </w:rPr>
        <w:t>ceso de producción de información estadística</w:t>
      </w:r>
      <w:r w:rsidRPr="007E42EE">
        <w:rPr>
          <w:rFonts w:ascii="Calibri" w:eastAsia="Times New Roman" w:hAnsi="Calibri" w:cs="Calibri"/>
          <w:color w:val="000000"/>
          <w:kern w:val="0"/>
          <w:sz w:val="20"/>
          <w:szCs w:val="20"/>
          <w:lang w:eastAsia="es-MX"/>
          <w14:ligatures w14:val="none"/>
        </w:rPr>
        <w:t xml:space="preserve"> y geográfica y puede inducir un sesgo en las estimaciones o estadísticas que se generen a partir de la información. El objetivo principal de la tasa de no respuesta antes de imputación a nivel unidad de observación es tratar de identificar la existencia de patrones en la no respuesta que pudieran inducir ese sesgo, por lo tanto, la tasa de no respuesta se debe calcular y comparar sobre los diferentes dominios de estudio, variables más importantes usadas para la estratificación o sobre agrupaciones que pudieran estar relacionadas con las variables principales de los diferentes pro</w:t>
      </w:r>
      <w:r>
        <w:rPr>
          <w:rFonts w:ascii="Calibri" w:eastAsia="Times New Roman" w:hAnsi="Calibri" w:cs="Calibri"/>
          <w:color w:val="000000"/>
          <w:kern w:val="0"/>
          <w:sz w:val="20"/>
          <w:szCs w:val="20"/>
          <w:lang w:eastAsia="es-MX"/>
          <w14:ligatures w14:val="none"/>
        </w:rPr>
        <w:t>cesos de producción</w:t>
      </w:r>
      <w:r w:rsidR="00394D4B" w:rsidRPr="00394D4B">
        <w:rPr>
          <w:rFonts w:ascii="Calibri" w:eastAsia="Times New Roman" w:hAnsi="Calibri" w:cs="Calibri"/>
          <w:color w:val="000000"/>
          <w:kern w:val="0"/>
          <w:sz w:val="20"/>
          <w:szCs w:val="20"/>
          <w:lang w:eastAsia="es-MX"/>
          <w14:ligatures w14:val="none"/>
        </w:rPr>
        <w:t>.</w:t>
      </w:r>
    </w:p>
    <w:p w14:paraId="76FE7674" w14:textId="77777777" w:rsidR="0097395E" w:rsidRDefault="0097395E"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4A997F6"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calculará según la frecuencia de levantamiento de información de cada pr</w:t>
      </w:r>
      <w:r>
        <w:rPr>
          <w:rFonts w:ascii="Calibri" w:eastAsia="Times New Roman" w:hAnsi="Calibri" w:cs="Calibri"/>
          <w:color w:val="000000"/>
          <w:kern w:val="0"/>
          <w:sz w:val="20"/>
          <w:szCs w:val="20"/>
          <w:lang w:eastAsia="es-MX"/>
          <w14:ligatures w14:val="none"/>
        </w:rPr>
        <w:t>oceso de producción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399AC1F3"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Esta tasa se reportará al mismo tiempo que la publicación de la información de los pro</w:t>
      </w:r>
      <w:r>
        <w:rPr>
          <w:rFonts w:ascii="Calibri" w:eastAsia="Times New Roman" w:hAnsi="Calibri" w:cs="Calibri"/>
          <w:color w:val="000000"/>
          <w:kern w:val="0"/>
          <w:sz w:val="20"/>
          <w:szCs w:val="20"/>
          <w:lang w:eastAsia="es-MX"/>
          <w14:ligatures w14:val="none"/>
        </w:rPr>
        <w:t>cesos de producción</w:t>
      </w:r>
      <w:r w:rsidR="00267B2F" w:rsidRPr="00267B2F">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564D6F0A" w14:textId="03C148C5"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El periodo de referencia es el periodo de levantamiento de la información</w:t>
      </w:r>
      <w:r>
        <w:rPr>
          <w:rFonts w:ascii="Calibri" w:eastAsia="Times New Roman" w:hAnsi="Calibri" w:cs="Calibri"/>
          <w:color w:val="000000"/>
          <w:kern w:val="0"/>
          <w:sz w:val="20"/>
          <w:szCs w:val="20"/>
          <w:lang w:eastAsia="es-MX"/>
          <w14:ligatures w14:val="none"/>
        </w:rPr>
        <w:t>.</w:t>
      </w:r>
    </w:p>
    <w:p w14:paraId="1C8240A0" w14:textId="77777777" w:rsidR="007E42EE" w:rsidRDefault="007E42EE" w:rsidP="007E42E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D64F6F" w14:textId="6F827001" w:rsidR="007E42EE" w:rsidRDefault="007E42E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3577ED50" w14:textId="0A01A1EE"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deberán especificar los aspectos siguientes para cada pro</w:t>
      </w:r>
      <w:r w:rsidR="00813DF1">
        <w:rPr>
          <w:rFonts w:ascii="Calibri" w:eastAsia="Times New Roman" w:hAnsi="Calibri" w:cs="Calibri"/>
          <w:color w:val="000000"/>
          <w:kern w:val="0"/>
          <w:sz w:val="20"/>
          <w:szCs w:val="20"/>
          <w:lang w:eastAsia="es-MX"/>
          <w14:ligatures w14:val="none"/>
        </w:rPr>
        <w:t>ceso de producción</w:t>
      </w:r>
      <w:r w:rsidRPr="007E42EE">
        <w:rPr>
          <w:rFonts w:ascii="Calibri" w:eastAsia="Times New Roman" w:hAnsi="Calibri" w:cs="Calibri"/>
          <w:color w:val="000000"/>
          <w:kern w:val="0"/>
          <w:sz w:val="20"/>
          <w:szCs w:val="20"/>
          <w:lang w:eastAsia="es-MX"/>
          <w14:ligatures w14:val="none"/>
        </w:rPr>
        <w:t xml:space="preserve">:   </w:t>
      </w:r>
    </w:p>
    <w:p w14:paraId="4BB26831" w14:textId="11E5BC5D"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 xml:space="preserve">                                                                                                                       </w:t>
      </w:r>
    </w:p>
    <w:p w14:paraId="7B7A1E52" w14:textId="16EA1AA4" w:rsidR="007E42EE" w:rsidRDefault="007E42EE" w:rsidP="00D60B25">
      <w:pPr>
        <w:pStyle w:val="Prrafodelista"/>
        <w:numPr>
          <w:ilvl w:val="0"/>
          <w:numId w:val="13"/>
        </w:numPr>
        <w:spacing w:after="0" w:line="240" w:lineRule="auto"/>
        <w:ind w:left="567" w:hanging="141"/>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 xml:space="preserve">La unidad de observación sobre la cual se realizará el cálculo de la tasa de no respuesta.     </w:t>
      </w:r>
    </w:p>
    <w:p w14:paraId="1653FE10" w14:textId="54D7F260" w:rsidR="007E42EE" w:rsidRPr="007E42EE" w:rsidRDefault="007E42EE" w:rsidP="007E42EE">
      <w:pPr>
        <w:pStyle w:val="Prrafodelista"/>
        <w:spacing w:after="0" w:line="240" w:lineRule="auto"/>
        <w:ind w:left="114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 xml:space="preserve">                                                                           </w:t>
      </w:r>
    </w:p>
    <w:p w14:paraId="1C9AA880" w14:textId="77777777" w:rsidR="00A45439" w:rsidRDefault="007E42EE" w:rsidP="00D60B2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ii) Las agrupaciones sobre las cuales se calculará el indicador (principales dominios de estudio, variables de estratificación o agrupaciones relacionadas con las variables principales del pro</w:t>
      </w:r>
      <w:r w:rsidR="00D60B25">
        <w:rPr>
          <w:rFonts w:ascii="Calibri" w:eastAsia="Times New Roman" w:hAnsi="Calibri" w:cs="Calibri"/>
          <w:color w:val="000000"/>
          <w:kern w:val="0"/>
          <w:sz w:val="20"/>
          <w:szCs w:val="20"/>
          <w:lang w:eastAsia="es-MX"/>
          <w14:ligatures w14:val="none"/>
        </w:rPr>
        <w:t>ceso de producción</w:t>
      </w:r>
      <w:r w:rsidRPr="007E42EE">
        <w:rPr>
          <w:rFonts w:ascii="Calibri" w:eastAsia="Times New Roman" w:hAnsi="Calibri" w:cs="Calibri"/>
          <w:color w:val="000000"/>
          <w:kern w:val="0"/>
          <w:sz w:val="20"/>
          <w:szCs w:val="20"/>
          <w:lang w:eastAsia="es-MX"/>
          <w14:ligatures w14:val="none"/>
        </w:rPr>
        <w:t xml:space="preserve">). </w:t>
      </w:r>
    </w:p>
    <w:p w14:paraId="5AFFB587" w14:textId="77777777" w:rsidR="00A45439" w:rsidRDefault="00A45439" w:rsidP="00D60B2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F46729F" w14:textId="50AB699E" w:rsidR="007E42EE" w:rsidRPr="007E42EE" w:rsidRDefault="007E42EE" w:rsidP="00D60B2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El total de las</w:t>
      </w:r>
      <w:r w:rsidRPr="007E42EE">
        <w:rPr>
          <w:rFonts w:ascii="Calibri" w:eastAsia="Times New Roman" w:hAnsi="Calibri" w:cs="Calibri"/>
          <w:color w:val="000000"/>
          <w:kern w:val="0"/>
          <w:sz w:val="20"/>
          <w:szCs w:val="20"/>
          <w:lang w:eastAsia="es-MX"/>
          <w14:ligatures w14:val="none"/>
        </w:rPr>
        <w:t xml:space="preserve"> unidades de observación cambia dependiendo del tipo de pro</w:t>
      </w:r>
      <w:r w:rsidR="00D60B25">
        <w:rPr>
          <w:rFonts w:ascii="Calibri" w:eastAsia="Times New Roman" w:hAnsi="Calibri" w:cs="Calibri"/>
          <w:color w:val="000000"/>
          <w:kern w:val="0"/>
          <w:sz w:val="20"/>
          <w:szCs w:val="20"/>
          <w:lang w:eastAsia="es-MX"/>
          <w14:ligatures w14:val="none"/>
        </w:rPr>
        <w:t>ceso de producción</w:t>
      </w:r>
      <w:r w:rsidRPr="007E42EE">
        <w:rPr>
          <w:rFonts w:ascii="Calibri" w:eastAsia="Times New Roman" w:hAnsi="Calibri" w:cs="Calibri"/>
          <w:color w:val="000000"/>
          <w:kern w:val="0"/>
          <w:sz w:val="20"/>
          <w:szCs w:val="20"/>
          <w:lang w:eastAsia="es-MX"/>
          <w14:ligatures w14:val="none"/>
        </w:rPr>
        <w:t>, por ejemplo, para pro</w:t>
      </w:r>
      <w:r w:rsidR="00D60B25">
        <w:rPr>
          <w:rFonts w:ascii="Calibri" w:eastAsia="Times New Roman" w:hAnsi="Calibri" w:cs="Calibri"/>
          <w:color w:val="000000"/>
          <w:kern w:val="0"/>
          <w:sz w:val="20"/>
          <w:szCs w:val="20"/>
          <w:lang w:eastAsia="es-MX"/>
          <w14:ligatures w14:val="none"/>
        </w:rPr>
        <w:t>cesos de producción</w:t>
      </w:r>
      <w:r w:rsidRPr="007E42EE">
        <w:rPr>
          <w:rFonts w:ascii="Calibri" w:eastAsia="Times New Roman" w:hAnsi="Calibri" w:cs="Calibri"/>
          <w:color w:val="000000"/>
          <w:kern w:val="0"/>
          <w:sz w:val="20"/>
          <w:szCs w:val="20"/>
          <w:lang w:eastAsia="es-MX"/>
          <w14:ligatures w14:val="none"/>
        </w:rPr>
        <w:t xml:space="preserve"> con muestreo probabilístico son las unidades contenidas en la muestra seleccionada excluyendo aquellas que no pertenecen a la población objetivo del pro</w:t>
      </w:r>
      <w:r w:rsidR="00D60B25">
        <w:rPr>
          <w:rFonts w:ascii="Calibri" w:eastAsia="Times New Roman" w:hAnsi="Calibri" w:cs="Calibri"/>
          <w:color w:val="000000"/>
          <w:kern w:val="0"/>
          <w:sz w:val="20"/>
          <w:szCs w:val="20"/>
          <w:lang w:eastAsia="es-MX"/>
          <w14:ligatures w14:val="none"/>
        </w:rPr>
        <w:t>ceso de producción</w:t>
      </w:r>
      <w:r w:rsidRPr="007E42EE">
        <w:rPr>
          <w:rFonts w:ascii="Calibri" w:eastAsia="Times New Roman" w:hAnsi="Calibri" w:cs="Calibri"/>
          <w:color w:val="000000"/>
          <w:kern w:val="0"/>
          <w:sz w:val="20"/>
          <w:szCs w:val="20"/>
          <w:lang w:eastAsia="es-MX"/>
          <w14:ligatures w14:val="none"/>
        </w:rPr>
        <w:t>, mientras que para un muestreo no probabilístico puede ser el conjunto de unidades en donde se intentó recabar la información a partir de algún esquema no probabilístico excluyendo también aquellas que no pertenecen a la población objetivo del pro</w:t>
      </w:r>
      <w:r w:rsidR="00D60B25">
        <w:rPr>
          <w:rFonts w:ascii="Calibri" w:eastAsia="Times New Roman" w:hAnsi="Calibri" w:cs="Calibri"/>
          <w:color w:val="000000"/>
          <w:kern w:val="0"/>
          <w:sz w:val="20"/>
          <w:szCs w:val="20"/>
          <w:lang w:eastAsia="es-MX"/>
          <w14:ligatures w14:val="none"/>
        </w:rPr>
        <w:t>ceso de producción</w:t>
      </w:r>
      <w:r w:rsidRPr="007E42EE">
        <w:rPr>
          <w:rFonts w:ascii="Calibri" w:eastAsia="Times New Roman" w:hAnsi="Calibri" w:cs="Calibri"/>
          <w:color w:val="000000"/>
          <w:kern w:val="0"/>
          <w:sz w:val="20"/>
          <w:szCs w:val="20"/>
          <w:lang w:eastAsia="es-MX"/>
          <w14:ligatures w14:val="none"/>
        </w:rPr>
        <w:t>. En el caso del aprovechamiento de registros administrativos con fines estadísticos es posible que exista un listado que</w:t>
      </w:r>
      <w:r>
        <w:rPr>
          <w:rFonts w:ascii="Calibri" w:eastAsia="Times New Roman" w:hAnsi="Calibri" w:cs="Calibri"/>
          <w:color w:val="000000"/>
          <w:kern w:val="0"/>
          <w:sz w:val="20"/>
          <w:szCs w:val="20"/>
          <w:lang w:eastAsia="es-MX"/>
          <w14:ligatures w14:val="none"/>
        </w:rPr>
        <w:t xml:space="preserve"> </w:t>
      </w:r>
      <w:r w:rsidRPr="007E42EE">
        <w:rPr>
          <w:rFonts w:ascii="Calibri" w:eastAsia="Times New Roman" w:hAnsi="Calibri" w:cs="Calibri"/>
          <w:color w:val="000000"/>
          <w:kern w:val="0"/>
          <w:sz w:val="20"/>
          <w:szCs w:val="20"/>
          <w:lang w:eastAsia="es-MX"/>
          <w14:ligatures w14:val="none"/>
        </w:rPr>
        <w:t>conforma el total de unidades de observación de las cuales se requiere la información, sin embargo, hay casos en donde el registro administrativo conforma por sí mismo ese total de unidades de observación ya que la población objetivo es igual a la población del registr</w:t>
      </w:r>
      <w:r w:rsidR="00D60B25">
        <w:rPr>
          <w:rFonts w:ascii="Calibri" w:eastAsia="Times New Roman" w:hAnsi="Calibri" w:cs="Calibri"/>
          <w:color w:val="000000"/>
          <w:kern w:val="0"/>
          <w:sz w:val="20"/>
          <w:szCs w:val="20"/>
          <w:lang w:eastAsia="es-MX"/>
          <w14:ligatures w14:val="none"/>
        </w:rPr>
        <w:t>o administrativo.</w:t>
      </w:r>
      <w:r w:rsidRPr="007E42EE">
        <w:rPr>
          <w:rFonts w:ascii="Calibri" w:eastAsia="Times New Roman" w:hAnsi="Calibri" w:cs="Calibri"/>
          <w:color w:val="000000"/>
          <w:kern w:val="0"/>
          <w:sz w:val="20"/>
          <w:szCs w:val="20"/>
          <w:lang w:eastAsia="es-MX"/>
          <w14:ligatures w14:val="none"/>
        </w:rPr>
        <w:t xml:space="preserve">                                                                                             </w:t>
      </w:r>
    </w:p>
    <w:p w14:paraId="637FFFFD" w14:textId="0D5E128A"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718A3F6" w14:textId="27861567" w:rsidR="00D60B25" w:rsidRPr="00F55900" w:rsidRDefault="00D60B25" w:rsidP="00D60B25">
      <w:pPr>
        <w:pStyle w:val="Prrafodelista"/>
        <w:ind w:left="426"/>
        <w:rPr>
          <w:rFonts w:ascii="Cambria Math" w:eastAsia="Times New Roman" w:hAnsi="Cambria Math" w:cs="Calibri"/>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Sea</w:t>
      </w:r>
      <w:r w:rsidRPr="00F55900">
        <w:rPr>
          <w:rFonts w:ascii="Cambria Math" w:eastAsia="Times New Roman" w:hAnsi="Cambria Math" w:cs="Calibri"/>
          <w:i/>
          <w:iCs/>
          <w:color w:val="000000"/>
          <w:kern w:val="0"/>
          <w:sz w:val="18"/>
          <w:szCs w:val="18"/>
          <w:lang w:eastAsia="es-MX"/>
          <w14:ligatures w14:val="none"/>
        </w:rPr>
        <w:t xml:space="preserve"> U </w:t>
      </w:r>
      <w:r w:rsidRPr="00F55900">
        <w:rPr>
          <w:rFonts w:ascii="Cambria Math" w:eastAsia="Times New Roman" w:hAnsi="Cambria Math" w:cs="Calibri"/>
          <w:color w:val="000000"/>
          <w:kern w:val="0"/>
          <w:sz w:val="18"/>
          <w:szCs w:val="18"/>
          <w:lang w:eastAsia="es-MX"/>
          <w14:ligatures w14:val="none"/>
        </w:rPr>
        <w:t>el conjunto de todas las unidades de observación en donde se intentó recabar la información y que no están fuera de la población objetivo</w:t>
      </w:r>
      <w:r w:rsidR="00F234AC">
        <w:rPr>
          <w:rFonts w:ascii="Cambria Math" w:eastAsia="Times New Roman" w:hAnsi="Cambria Math" w:cs="Calibri"/>
          <w:color w:val="000000"/>
          <w:kern w:val="0"/>
          <w:sz w:val="18"/>
          <w:szCs w:val="18"/>
          <w:lang w:eastAsia="es-MX"/>
          <w14:ligatures w14:val="none"/>
        </w:rPr>
        <w:t>,</w:t>
      </w:r>
      <w:r w:rsidRPr="00F55900">
        <w:rPr>
          <w:rFonts w:ascii="Cambria Math" w:eastAsia="Times New Roman" w:hAnsi="Cambria Math" w:cs="Calibri"/>
          <w:color w:val="000000"/>
          <w:kern w:val="0"/>
          <w:sz w:val="18"/>
          <w:szCs w:val="18"/>
          <w:lang w:eastAsia="es-MX"/>
          <w14:ligatures w14:val="none"/>
        </w:rPr>
        <w:t xml:space="preserve"> definida para el proceso de producción.</w:t>
      </w:r>
    </w:p>
    <w:p w14:paraId="324A4F7B" w14:textId="77777777" w:rsidR="00D60B25"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4756E058" w14:textId="77777777" w:rsidR="00D60B25" w:rsidRPr="00F55900" w:rsidRDefault="00D60B25" w:rsidP="00D60B25">
      <w:pPr>
        <w:pStyle w:val="Prrafodelista"/>
        <w:ind w:left="426"/>
        <w:jc w:val="both"/>
        <w:rPr>
          <w:rFonts w:ascii="Cambria Math" w:eastAsia="Times New Roman" w:hAnsi="Cambria Math" w:cs="Calibri"/>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 xml:space="preserve">Se define como información admisible a aquella información que pasa los criterios de validación, incluyendo los casos en donde desde la fase de diseño se definen como admisibles códigos de no respuesta para alguna variable en particular. Con esta definición se puede asignar a cada una de las unidades de observación contenidas en </w:t>
      </w:r>
      <w:r w:rsidRPr="00DC0047">
        <w:rPr>
          <w:rFonts w:ascii="Cambria Math" w:eastAsia="Times New Roman" w:hAnsi="Cambria Math" w:cs="Calibri"/>
          <w:i/>
          <w:iCs/>
          <w:color w:val="000000"/>
          <w:kern w:val="0"/>
          <w:sz w:val="18"/>
          <w:szCs w:val="18"/>
          <w:lang w:eastAsia="es-MX"/>
          <w14:ligatures w14:val="none"/>
        </w:rPr>
        <w:t>U</w:t>
      </w:r>
      <w:r w:rsidRPr="00F55900">
        <w:rPr>
          <w:rFonts w:ascii="Cambria Math" w:eastAsia="Times New Roman" w:hAnsi="Cambria Math" w:cs="Calibri"/>
          <w:color w:val="000000"/>
          <w:kern w:val="0"/>
          <w:sz w:val="18"/>
          <w:szCs w:val="18"/>
          <w:lang w:eastAsia="es-MX"/>
          <w14:ligatures w14:val="none"/>
        </w:rPr>
        <w:t xml:space="preserve"> en alguno de los tres subconjuntos siguientes:</w:t>
      </w:r>
    </w:p>
    <w:p w14:paraId="643DB0D3" w14:textId="77777777" w:rsidR="00D60B25"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6AE970D9" w14:textId="7E0D1A85" w:rsidR="00D60B25" w:rsidRPr="00F55900" w:rsidRDefault="00000000" w:rsidP="00D60B25">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1</m:t>
            </m:r>
          </m:sub>
        </m:sSub>
      </m:oMath>
      <w:r w:rsidR="00D60B25" w:rsidRPr="00F55900">
        <w:rPr>
          <w:rFonts w:ascii="Cambria Math" w:eastAsia="Times New Roman" w:hAnsi="Cambria Math" w:cs="Calibri"/>
          <w:i/>
          <w:iCs/>
          <w:color w:val="000000"/>
          <w:kern w:val="0"/>
          <w:sz w:val="18"/>
          <w:szCs w:val="18"/>
          <w:lang w:eastAsia="es-MX"/>
          <w14:ligatures w14:val="none"/>
        </w:rPr>
        <w:t xml:space="preserve">: </w:t>
      </w:r>
      <w:r w:rsidR="00D60B25" w:rsidRPr="00F55900">
        <w:rPr>
          <w:rFonts w:ascii="Cambria Math" w:eastAsia="Times New Roman" w:hAnsi="Cambria Math" w:cs="Calibri"/>
          <w:color w:val="000000"/>
          <w:kern w:val="0"/>
          <w:sz w:val="18"/>
          <w:szCs w:val="18"/>
          <w:lang w:eastAsia="es-MX"/>
          <w14:ligatures w14:val="none"/>
        </w:rPr>
        <w:t>El compuesto por aquellas unidades de observación en donde toda la información es admisible.</w:t>
      </w:r>
    </w:p>
    <w:p w14:paraId="189B2FB8" w14:textId="724C1227" w:rsidR="00D60B25" w:rsidRPr="00F55900" w:rsidRDefault="00000000" w:rsidP="00C66E9E">
      <w:pPr>
        <w:pStyle w:val="Prrafodelista"/>
        <w:ind w:left="426"/>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2</m:t>
            </m:r>
          </m:sub>
        </m:sSub>
      </m:oMath>
      <w:r w:rsidR="00D60B25" w:rsidRPr="00F55900">
        <w:rPr>
          <w:rFonts w:ascii="Cambria Math" w:eastAsia="Times New Roman" w:hAnsi="Cambria Math" w:cs="Calibri"/>
          <w:i/>
          <w:iCs/>
          <w:color w:val="000000"/>
          <w:kern w:val="0"/>
          <w:sz w:val="18"/>
          <w:szCs w:val="18"/>
          <w:lang w:eastAsia="es-MX"/>
          <w14:ligatures w14:val="none"/>
        </w:rPr>
        <w:t xml:space="preserve">: </w:t>
      </w:r>
      <w:r w:rsidR="00D60B25" w:rsidRPr="00F55900">
        <w:rPr>
          <w:rFonts w:ascii="Cambria Math" w:eastAsia="Times New Roman" w:hAnsi="Cambria Math" w:cs="Calibri"/>
          <w:color w:val="000000"/>
          <w:kern w:val="0"/>
          <w:sz w:val="18"/>
          <w:szCs w:val="18"/>
          <w:lang w:eastAsia="es-MX"/>
          <w14:ligatures w14:val="none"/>
        </w:rPr>
        <w:t>El compuesto por aquellas unidades de observación en donde no se obtuvo información alguna, por ejemplo, por cuestiones como inseguridad, unidad no disponible (se negaron a recibir al entrevistador, el informante no está disponible cuando se hace la visita), etc.</w:t>
      </w:r>
    </w:p>
    <w:p w14:paraId="14825520" w14:textId="61524BFC" w:rsidR="00D60B25" w:rsidRPr="00F55900" w:rsidRDefault="00000000" w:rsidP="00C66E9E">
      <w:pPr>
        <w:pStyle w:val="Prrafodelista"/>
        <w:ind w:left="426"/>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3</m:t>
            </m:r>
          </m:sub>
        </m:sSub>
      </m:oMath>
      <w:r w:rsidR="00D60B25" w:rsidRPr="00F55900">
        <w:rPr>
          <w:rFonts w:ascii="Cambria Math" w:eastAsia="Times New Roman" w:hAnsi="Cambria Math" w:cs="Calibri"/>
          <w:i/>
          <w:iCs/>
          <w:color w:val="000000"/>
          <w:kern w:val="0"/>
          <w:sz w:val="18"/>
          <w:szCs w:val="18"/>
          <w:lang w:eastAsia="es-MX"/>
          <w14:ligatures w14:val="none"/>
        </w:rPr>
        <w:t xml:space="preserve">: </w:t>
      </w:r>
      <w:r w:rsidR="00D60B25" w:rsidRPr="00F55900">
        <w:rPr>
          <w:rFonts w:ascii="Cambria Math" w:eastAsia="Times New Roman" w:hAnsi="Cambria Math" w:cs="Calibri"/>
          <w:color w:val="000000"/>
          <w:kern w:val="0"/>
          <w:sz w:val="18"/>
          <w:szCs w:val="18"/>
          <w:lang w:eastAsia="es-MX"/>
          <w14:ligatures w14:val="none"/>
        </w:rPr>
        <w:t>El compuesto por aquellas unidades de observación en donde se obtuvo información, pero al realizar la validación y codificación (en la fase de recolección o procesamiento del MPEG*) se decide que la unidad de observación tiene información no admisible en al menos una de las variables objeto del pro</w:t>
      </w:r>
      <w:r w:rsidR="00813DF1">
        <w:rPr>
          <w:rFonts w:ascii="Cambria Math" w:eastAsia="Times New Roman" w:hAnsi="Cambria Math" w:cs="Calibri"/>
          <w:color w:val="000000"/>
          <w:kern w:val="0"/>
          <w:sz w:val="18"/>
          <w:szCs w:val="18"/>
          <w:lang w:eastAsia="es-MX"/>
          <w14:ligatures w14:val="none"/>
        </w:rPr>
        <w:t>ceso de producción</w:t>
      </w:r>
      <w:r w:rsidR="00D60B25" w:rsidRPr="00F55900">
        <w:rPr>
          <w:rFonts w:ascii="Cambria Math" w:eastAsia="Times New Roman" w:hAnsi="Cambria Math" w:cs="Calibri"/>
          <w:color w:val="000000"/>
          <w:kern w:val="0"/>
          <w:sz w:val="18"/>
          <w:szCs w:val="18"/>
          <w:lang w:eastAsia="es-MX"/>
          <w14:ligatures w14:val="none"/>
        </w:rPr>
        <w:t>.</w:t>
      </w:r>
      <w:r w:rsidR="00D60B25" w:rsidRPr="00F55900">
        <w:rPr>
          <w:rFonts w:ascii="Cambria Math" w:eastAsia="Times New Roman" w:hAnsi="Cambria Math" w:cs="Calibri"/>
          <w:i/>
          <w:iCs/>
          <w:color w:val="000000"/>
          <w:kern w:val="0"/>
          <w:sz w:val="18"/>
          <w:szCs w:val="18"/>
          <w:lang w:eastAsia="es-MX"/>
          <w14:ligatures w14:val="none"/>
        </w:rPr>
        <w:t xml:space="preserve"> </w:t>
      </w:r>
    </w:p>
    <w:p w14:paraId="24C6CC51" w14:textId="77777777" w:rsidR="00D60B25" w:rsidRPr="00F55900" w:rsidRDefault="00D60B25" w:rsidP="00C66E9E">
      <w:pPr>
        <w:pStyle w:val="Prrafodelista"/>
        <w:ind w:left="426"/>
        <w:jc w:val="both"/>
        <w:rPr>
          <w:rFonts w:ascii="Cambria Math" w:eastAsia="Times New Roman" w:hAnsi="Cambria Math" w:cs="Calibri"/>
          <w:i/>
          <w:iCs/>
          <w:color w:val="000000"/>
          <w:kern w:val="0"/>
          <w:sz w:val="18"/>
          <w:szCs w:val="18"/>
          <w:lang w:eastAsia="es-MX"/>
          <w14:ligatures w14:val="none"/>
        </w:rPr>
      </w:pPr>
    </w:p>
    <w:p w14:paraId="76565150" w14:textId="0ADC6019" w:rsidR="00F55900" w:rsidRPr="00F55900" w:rsidRDefault="00D60B25" w:rsidP="00D60B25">
      <w:pPr>
        <w:pStyle w:val="Prrafodelista"/>
        <w:ind w:left="426"/>
        <w:rPr>
          <w:rFonts w:ascii="Cambria Math" w:eastAsia="Times New Roman" w:hAnsi="Cambria Math" w:cs="Calibri"/>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Para cada nivel de agregación</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g=1,…,G</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el número de unidades en</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U</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 xml:space="preserve">que pertenecen a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color w:val="000000"/>
          <w:kern w:val="0"/>
          <w:sz w:val="18"/>
          <w:szCs w:val="18"/>
          <w:lang w:eastAsia="es-MX"/>
          <w14:ligatures w14:val="none"/>
        </w:rPr>
        <w:t xml:space="preserve"> y al subconjunto</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i</m:t>
            </m:r>
          </m:sub>
        </m:sSub>
      </m:oMath>
      <w:r w:rsidRPr="00F55900">
        <w:rPr>
          <w:rFonts w:ascii="Cambria Math" w:eastAsia="Times New Roman" w:hAnsi="Cambria Math" w:cs="Calibri"/>
          <w:i/>
          <w:iCs/>
          <w:color w:val="000000"/>
          <w:kern w:val="0"/>
          <w:sz w:val="18"/>
          <w:szCs w:val="18"/>
          <w:lang w:eastAsia="es-MX"/>
          <w14:ligatures w14:val="none"/>
        </w:rPr>
        <w:t>,</w:t>
      </w:r>
      <w:r w:rsidRPr="00F55900">
        <w:rPr>
          <w:rFonts w:ascii="Cambria Math" w:eastAsia="Times New Roman" w:hAnsi="Cambria Math" w:cs="Calibri"/>
          <w:i/>
          <w:iCs/>
          <w:color w:val="000000"/>
          <w:kern w:val="0"/>
          <w:sz w:val="18"/>
          <w:szCs w:val="18"/>
          <w:cs/>
          <w:lang w:eastAsia="es-MX" w:bidi="ta-IN"/>
          <w14:ligatures w14:val="none"/>
        </w:rPr>
        <w:t xml:space="preserve"> </w:t>
      </w:r>
      <m:oMath>
        <m:r>
          <w:rPr>
            <w:rFonts w:ascii="Cambria Math" w:eastAsia="Times New Roman" w:hAnsi="Cambria Math" w:cs="Calibri"/>
            <w:color w:val="000000"/>
            <w:kern w:val="0"/>
            <w:sz w:val="18"/>
            <w:szCs w:val="18"/>
            <w:lang w:eastAsia="es-MX"/>
            <w14:ligatures w14:val="none"/>
          </w:rPr>
          <m:t>i=1,2,</m:t>
        </m:r>
      </m:oMath>
      <w:r w:rsidRPr="00F55900">
        <w:rPr>
          <w:rFonts w:ascii="Cambria Math" w:eastAsia="Times New Roman" w:hAnsi="Cambria Math" w:cs="Calibri"/>
          <w:i/>
          <w:iCs/>
          <w:color w:val="000000"/>
          <w:kern w:val="0"/>
          <w:sz w:val="18"/>
          <w:szCs w:val="18"/>
          <w:lang w:eastAsia="es-MX"/>
          <w14:ligatures w14:val="none"/>
        </w:rPr>
        <w:t xml:space="preserve">3; </w:t>
      </w:r>
      <w:r w:rsidRPr="00F55900">
        <w:rPr>
          <w:rFonts w:ascii="Cambria Math" w:eastAsia="Times New Roman" w:hAnsi="Cambria Math" w:cs="Calibri"/>
          <w:color w:val="000000"/>
          <w:kern w:val="0"/>
          <w:sz w:val="18"/>
          <w:szCs w:val="18"/>
          <w:lang w:eastAsia="es-MX"/>
          <w14:ligatures w14:val="none"/>
        </w:rPr>
        <w:t>de donde el número de unidades de observación en</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U</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que pertenecen a</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se obtiene como</w:t>
      </w:r>
      <w:r w:rsidR="00F55900" w:rsidRPr="00F55900">
        <w:rPr>
          <w:rFonts w:ascii="Cambria Math" w:eastAsia="Times New Roman" w:hAnsi="Cambria Math" w:cs="Calibri"/>
          <w:color w:val="000000"/>
          <w:kern w:val="0"/>
          <w:sz w:val="18"/>
          <w:szCs w:val="18"/>
          <w:lang w:eastAsia="es-MX"/>
          <w14:ligatures w14:val="none"/>
        </w:rPr>
        <w:t>:</w:t>
      </w:r>
    </w:p>
    <w:p w14:paraId="3AC755F0" w14:textId="77777777" w:rsidR="00F55900"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oMath>
      <w:r w:rsidRPr="00F55900">
        <w:rPr>
          <w:rFonts w:ascii="Cambria Math" w:eastAsia="Times New Roman" w:hAnsi="Cambria Math" w:cs="Calibri"/>
          <w:i/>
          <w:iCs/>
          <w:color w:val="000000"/>
          <w:kern w:val="0"/>
          <w:sz w:val="18"/>
          <w:szCs w:val="18"/>
          <w:lang w:eastAsia="es-MX"/>
          <w14:ligatures w14:val="none"/>
        </w:rPr>
        <w:t xml:space="preserve">. </w:t>
      </w:r>
    </w:p>
    <w:p w14:paraId="768E22A7" w14:textId="77777777" w:rsidR="00F55900" w:rsidRPr="00F55900" w:rsidRDefault="00F55900" w:rsidP="00D60B25">
      <w:pPr>
        <w:pStyle w:val="Prrafodelista"/>
        <w:ind w:left="426"/>
        <w:rPr>
          <w:rFonts w:ascii="Cambria Math" w:eastAsia="Times New Roman" w:hAnsi="Cambria Math" w:cs="Calibri"/>
          <w:i/>
          <w:iCs/>
          <w:color w:val="000000"/>
          <w:kern w:val="0"/>
          <w:sz w:val="18"/>
          <w:szCs w:val="18"/>
          <w:lang w:eastAsia="es-MX"/>
          <w14:ligatures w14:val="none"/>
        </w:rPr>
      </w:pPr>
    </w:p>
    <w:p w14:paraId="670877B3" w14:textId="5A9BB705" w:rsidR="00D60B25" w:rsidRPr="00F55900" w:rsidRDefault="00D60B25" w:rsidP="00D60B25">
      <w:pPr>
        <w:pStyle w:val="Prrafodelista"/>
        <w:ind w:left="426"/>
        <w:rPr>
          <w:rFonts w:ascii="Cambria Math" w:eastAsia="Times New Roman" w:hAnsi="Cambria Math" w:cs="Calibri"/>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 xml:space="preserve">La tasa de no respuesta antes de imputación a nivel unidad de observación para el nivel de agregación </w:t>
      </w:r>
      <m:oMath>
        <m:r>
          <w:rPr>
            <w:rFonts w:ascii="Cambria Math" w:eastAsia="Times New Roman" w:hAnsi="Cambria Math" w:cs="Calibri"/>
            <w:color w:val="000000"/>
            <w:kern w:val="0"/>
            <w:sz w:val="18"/>
            <w:szCs w:val="18"/>
            <w:lang w:eastAsia="es-MX"/>
            <w14:ligatures w14:val="none"/>
          </w:rPr>
          <m:t>g</m:t>
        </m:r>
      </m:oMath>
      <w:r w:rsidRPr="00512268">
        <w:rPr>
          <w:rFonts w:ascii="Cambria Math" w:eastAsia="Times New Roman" w:hAnsi="Cambria Math" w:cs="Calibri"/>
          <w:i/>
          <w:iCs/>
          <w:color w:val="000000"/>
          <w:kern w:val="0"/>
          <w:sz w:val="18"/>
          <w:szCs w:val="18"/>
          <w:lang w:eastAsia="es-MX"/>
          <w14:ligatures w14:val="none"/>
        </w:rPr>
        <w:t>,</w:t>
      </w:r>
      <w:r w:rsidRPr="00F55900">
        <w:rPr>
          <w:rFonts w:ascii="Cambria Math" w:eastAsia="Times New Roman" w:hAnsi="Cambria Math" w:cs="Calibri"/>
          <w:color w:val="000000"/>
          <w:kern w:val="0"/>
          <w:sz w:val="18"/>
          <w:szCs w:val="18"/>
          <w:lang w:eastAsia="es-MX"/>
          <w14:ligatures w14:val="none"/>
        </w:rPr>
        <w:t xml:space="preserve"> se define entonces como:</w:t>
      </w:r>
    </w:p>
    <w:p w14:paraId="4AE50E61" w14:textId="1EE98604" w:rsidR="00D60B25" w:rsidRPr="00F55900" w:rsidRDefault="00000000" w:rsidP="00D60B25">
      <w:pPr>
        <w:pStyle w:val="Prrafodelista"/>
        <w:ind w:left="426"/>
        <w:rPr>
          <w:rFonts w:ascii="Cambria Math" w:eastAsia="Times New Roman" w:hAnsi="Cambria Math" w:cs="Calibri"/>
          <w:b/>
          <w:bCs/>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b/>
                  <w:bCs/>
                  <w:i/>
                  <w:iCs/>
                  <w:color w:val="000000"/>
                  <w:kern w:val="0"/>
                  <w:sz w:val="18"/>
                  <w:szCs w:val="18"/>
                  <w:lang w:val="es-419" w:eastAsia="es-MX"/>
                  <w14:ligatures w14:val="none"/>
                </w:rPr>
              </m:ctrlPr>
            </m:sSubPr>
            <m:e>
              <m:r>
                <m:rPr>
                  <m:sty m:val="bi"/>
                </m:rPr>
                <w:rPr>
                  <w:rFonts w:ascii="Cambria Math" w:eastAsia="Times New Roman" w:hAnsi="Cambria Math" w:cs="Calibri"/>
                  <w:color w:val="000000"/>
                  <w:kern w:val="0"/>
                  <w:sz w:val="18"/>
                  <w:szCs w:val="18"/>
                  <w:lang w:val="es-419" w:eastAsia="es-MX"/>
                  <w14:ligatures w14:val="none"/>
                </w:rPr>
                <m:t>TNR</m:t>
              </m:r>
            </m:e>
            <m:sub>
              <m:r>
                <m:rPr>
                  <m:sty m:val="bi"/>
                </m:rPr>
                <w:rPr>
                  <w:rFonts w:ascii="Cambria Math" w:eastAsia="Times New Roman" w:hAnsi="Cambria Math" w:cs="Calibri"/>
                  <w:color w:val="000000"/>
                  <w:kern w:val="0"/>
                  <w:sz w:val="18"/>
                  <w:szCs w:val="18"/>
                  <w:lang w:val="es-419" w:eastAsia="es-MX"/>
                  <w14:ligatures w14:val="none"/>
                </w:rPr>
                <m:t>g</m:t>
              </m:r>
            </m:sub>
          </m:sSub>
          <m:r>
            <m:rPr>
              <m:sty m:val="bi"/>
            </m:rP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b/>
                  <w:bCs/>
                  <w:i/>
                  <w:iCs/>
                  <w:color w:val="000000"/>
                  <w:kern w:val="0"/>
                  <w:sz w:val="18"/>
                  <w:szCs w:val="18"/>
                  <w:lang w:val="es-419" w:eastAsia="es-MX"/>
                  <w14:ligatures w14:val="none"/>
                </w:rPr>
              </m:ctrlPr>
            </m:fPr>
            <m:num>
              <m:sSub>
                <m:sSubPr>
                  <m:ctrlPr>
                    <w:rPr>
                      <w:rFonts w:ascii="Cambria Math" w:eastAsia="Times New Roman" w:hAnsi="Cambria Math" w:cs="Calibri"/>
                      <w:b/>
                      <w:bCs/>
                      <w:i/>
                      <w:iCs/>
                      <w:color w:val="000000"/>
                      <w:kern w:val="0"/>
                      <w:sz w:val="18"/>
                      <w:szCs w:val="18"/>
                      <w:lang w:val="es-419" w:eastAsia="es-MX"/>
                      <w14:ligatures w14:val="none"/>
                    </w:rPr>
                  </m:ctrlPr>
                </m:sSubPr>
                <m:e>
                  <m:r>
                    <m:rPr>
                      <m:sty m:val="bi"/>
                    </m:rPr>
                    <w:rPr>
                      <w:rFonts w:ascii="Cambria Math" w:eastAsia="Times New Roman" w:hAnsi="Cambria Math" w:cs="Calibri"/>
                      <w:color w:val="000000"/>
                      <w:kern w:val="0"/>
                      <w:sz w:val="18"/>
                      <w:szCs w:val="18"/>
                      <w:lang w:val="es-419" w:eastAsia="es-MX"/>
                      <w14:ligatures w14:val="none"/>
                    </w:rPr>
                    <m:t>N</m:t>
                  </m:r>
                </m:e>
                <m:sub>
                  <m:r>
                    <m:rPr>
                      <m:sty m:val="bi"/>
                    </m:rPr>
                    <w:rPr>
                      <w:rFonts w:ascii="Cambria Math" w:eastAsia="Times New Roman" w:hAnsi="Cambria Math" w:cs="Calibri"/>
                      <w:color w:val="000000"/>
                      <w:kern w:val="0"/>
                      <w:sz w:val="18"/>
                      <w:szCs w:val="18"/>
                      <w:lang w:val="es-419" w:eastAsia="es-MX"/>
                      <w14:ligatures w14:val="none"/>
                    </w:rPr>
                    <m:t>g</m:t>
                  </m:r>
                  <m:r>
                    <m:rPr>
                      <m:sty m:val="bi"/>
                    </m:rPr>
                    <w:rPr>
                      <w:rFonts w:ascii="Cambria Math" w:eastAsia="Times New Roman" w:hAnsi="Cambria Math" w:cs="Calibri"/>
                      <w:color w:val="000000"/>
                      <w:kern w:val="0"/>
                      <w:sz w:val="18"/>
                      <w:szCs w:val="18"/>
                      <w:lang w:eastAsia="es-MX"/>
                      <w14:ligatures w14:val="none"/>
                    </w:rPr>
                    <m:t>2</m:t>
                  </m:r>
                </m:sub>
              </m:sSub>
              <m:r>
                <m:rPr>
                  <m:sty m:val="bi"/>
                </m:rP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b/>
                      <w:bCs/>
                      <w:i/>
                      <w:iCs/>
                      <w:color w:val="000000"/>
                      <w:kern w:val="0"/>
                      <w:sz w:val="18"/>
                      <w:szCs w:val="18"/>
                      <w:lang w:val="es-419" w:eastAsia="es-MX"/>
                      <w14:ligatures w14:val="none"/>
                    </w:rPr>
                  </m:ctrlPr>
                </m:sSubPr>
                <m:e>
                  <m:r>
                    <m:rPr>
                      <m:sty m:val="bi"/>
                    </m:rPr>
                    <w:rPr>
                      <w:rFonts w:ascii="Cambria Math" w:eastAsia="Times New Roman" w:hAnsi="Cambria Math" w:cs="Calibri"/>
                      <w:color w:val="000000"/>
                      <w:kern w:val="0"/>
                      <w:sz w:val="18"/>
                      <w:szCs w:val="18"/>
                      <w:lang w:val="es-419" w:eastAsia="es-MX"/>
                      <w14:ligatures w14:val="none"/>
                    </w:rPr>
                    <m:t>N</m:t>
                  </m:r>
                </m:e>
                <m:sub>
                  <m:r>
                    <m:rPr>
                      <m:sty m:val="bi"/>
                    </m:rPr>
                    <w:rPr>
                      <w:rFonts w:ascii="Cambria Math" w:eastAsia="Times New Roman" w:hAnsi="Cambria Math" w:cs="Calibri"/>
                      <w:color w:val="000000"/>
                      <w:kern w:val="0"/>
                      <w:sz w:val="18"/>
                      <w:szCs w:val="18"/>
                      <w:lang w:val="es-419" w:eastAsia="es-MX"/>
                      <w14:ligatures w14:val="none"/>
                    </w:rPr>
                    <m:t>g</m:t>
                  </m:r>
                  <m:r>
                    <m:rPr>
                      <m:sty m:val="bi"/>
                    </m:rPr>
                    <w:rPr>
                      <w:rFonts w:ascii="Cambria Math" w:eastAsia="Times New Roman" w:hAnsi="Cambria Math" w:cs="Calibri"/>
                      <w:color w:val="000000"/>
                      <w:kern w:val="0"/>
                      <w:sz w:val="18"/>
                      <w:szCs w:val="18"/>
                      <w:lang w:eastAsia="es-MX"/>
                      <w14:ligatures w14:val="none"/>
                    </w:rPr>
                    <m:t>3</m:t>
                  </m:r>
                </m:sub>
              </m:sSub>
            </m:num>
            <m:den>
              <m:r>
                <m:rPr>
                  <m:sty m:val="bi"/>
                </m:rPr>
                <w:rPr>
                  <w:rFonts w:ascii="Cambria Math" w:eastAsia="Times New Roman" w:hAnsi="Cambria Math" w:cs="Calibri"/>
                  <w:color w:val="000000"/>
                  <w:kern w:val="0"/>
                  <w:sz w:val="18"/>
                  <w:szCs w:val="18"/>
                  <w:lang w:val="es-419" w:eastAsia="es-MX"/>
                  <w14:ligatures w14:val="none"/>
                </w:rPr>
                <m:t> </m:t>
              </m:r>
              <m:sSub>
                <m:sSubPr>
                  <m:ctrlPr>
                    <w:rPr>
                      <w:rFonts w:ascii="Cambria Math" w:eastAsia="Times New Roman" w:hAnsi="Cambria Math" w:cs="Calibri"/>
                      <w:b/>
                      <w:bCs/>
                      <w:i/>
                      <w:iCs/>
                      <w:color w:val="000000"/>
                      <w:kern w:val="0"/>
                      <w:sz w:val="18"/>
                      <w:szCs w:val="18"/>
                      <w:lang w:val="es-419" w:eastAsia="es-MX"/>
                      <w14:ligatures w14:val="none"/>
                    </w:rPr>
                  </m:ctrlPr>
                </m:sSubPr>
                <m:e>
                  <m:r>
                    <m:rPr>
                      <m:sty m:val="bi"/>
                    </m:rPr>
                    <w:rPr>
                      <w:rFonts w:ascii="Cambria Math" w:eastAsia="Times New Roman" w:hAnsi="Cambria Math" w:cs="Calibri"/>
                      <w:color w:val="000000"/>
                      <w:kern w:val="0"/>
                      <w:sz w:val="18"/>
                      <w:szCs w:val="18"/>
                      <w:lang w:val="es-419" w:eastAsia="es-MX"/>
                      <w14:ligatures w14:val="none"/>
                    </w:rPr>
                    <m:t>N</m:t>
                  </m:r>
                </m:e>
                <m:sub>
                  <m:r>
                    <m:rPr>
                      <m:sty m:val="bi"/>
                    </m:rPr>
                    <w:rPr>
                      <w:rFonts w:ascii="Cambria Math" w:eastAsia="Times New Roman" w:hAnsi="Cambria Math" w:cs="Calibri"/>
                      <w:color w:val="000000"/>
                      <w:kern w:val="0"/>
                      <w:sz w:val="18"/>
                      <w:szCs w:val="18"/>
                      <w:lang w:val="es-419" w:eastAsia="es-MX"/>
                      <w14:ligatures w14:val="none"/>
                    </w:rPr>
                    <m:t>g</m:t>
                  </m:r>
                </m:sub>
              </m:sSub>
            </m:den>
          </m:f>
          <m:r>
            <m:rPr>
              <m:sty m:val="bi"/>
            </m:rPr>
            <w:rPr>
              <w:rFonts w:ascii="Cambria Math" w:eastAsia="Times New Roman" w:hAnsi="Cambria Math" w:cs="Calibri"/>
              <w:color w:val="000000"/>
              <w:kern w:val="0"/>
              <w:sz w:val="18"/>
              <w:szCs w:val="18"/>
              <w:lang w:val="es-419" w:eastAsia="es-MX"/>
              <w14:ligatures w14:val="none"/>
            </w:rPr>
            <m:t> ×</m:t>
          </m:r>
          <m:r>
            <m:rPr>
              <m:sty m:val="bi"/>
            </m:rPr>
            <w:rPr>
              <w:rFonts w:ascii="Cambria Math" w:eastAsia="Times New Roman" w:hAnsi="Cambria Math" w:cs="Calibri"/>
              <w:color w:val="000000"/>
              <w:kern w:val="0"/>
              <w:sz w:val="18"/>
              <w:szCs w:val="18"/>
              <w:lang w:eastAsia="es-MX"/>
              <w14:ligatures w14:val="none"/>
            </w:rPr>
            <m:t>100</m:t>
          </m:r>
        </m:oMath>
      </m:oMathPara>
    </w:p>
    <w:p w14:paraId="32E7A9F8" w14:textId="77777777" w:rsidR="00F55900" w:rsidRPr="00F55900" w:rsidRDefault="00F55900" w:rsidP="00C66E9E">
      <w:pPr>
        <w:pStyle w:val="Prrafodelista"/>
        <w:ind w:left="426"/>
        <w:jc w:val="both"/>
        <w:rPr>
          <w:rFonts w:ascii="Cambria Math" w:eastAsia="Times New Roman" w:hAnsi="Cambria Math" w:cs="Calibri"/>
          <w:color w:val="000000"/>
          <w:kern w:val="0"/>
          <w:sz w:val="18"/>
          <w:szCs w:val="18"/>
          <w:lang w:eastAsia="es-MX"/>
          <w14:ligatures w14:val="none"/>
        </w:rPr>
      </w:pPr>
    </w:p>
    <w:p w14:paraId="50657ED9" w14:textId="25D7F3DA" w:rsidR="00D60B25" w:rsidRPr="00F55900" w:rsidRDefault="00D60B25" w:rsidP="00C66E9E">
      <w:pPr>
        <w:pStyle w:val="Prrafodelista"/>
        <w:ind w:left="426"/>
        <w:jc w:val="both"/>
        <w:rPr>
          <w:rFonts w:ascii="Cambria Math" w:eastAsia="Times New Roman" w:hAnsi="Cambria Math" w:cs="Calibri"/>
          <w:i/>
          <w:iCs/>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 xml:space="preserve">En el caso de muestreo probabilístico o de un muestreo no probabilístico basado en el tamaño de alguna variable de diseño, también se deberá calcular la versión ponderada de este indicador. En este caso se asume, sin pérdida de generalidad, que para cada agregación </w:t>
      </w:r>
      <m:oMath>
        <m:r>
          <w:rPr>
            <w:rFonts w:ascii="Cambria Math" w:eastAsia="Times New Roman" w:hAnsi="Cambria Math" w:cs="Calibri"/>
            <w:color w:val="000000"/>
            <w:kern w:val="0"/>
            <w:sz w:val="18"/>
            <w:szCs w:val="18"/>
            <w:lang w:eastAsia="es-MX"/>
            <w14:ligatures w14:val="none"/>
          </w:rPr>
          <m:t>g</m:t>
        </m:r>
      </m:oMath>
      <w:r w:rsidRPr="00077331">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las</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unidades de observación en</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U</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 xml:space="preserve">que pertenecen a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color w:val="000000"/>
          <w:kern w:val="0"/>
          <w:sz w:val="18"/>
          <w:szCs w:val="18"/>
          <w:lang w:eastAsia="es-MX"/>
          <w14:ligatures w14:val="none"/>
        </w:rPr>
        <w:t xml:space="preserve"> tienen asociados los subíndices entre</w:t>
      </w:r>
      <w:r w:rsidRPr="00F55900">
        <w:rPr>
          <w:rFonts w:ascii="Cambria Math" w:eastAsia="Times New Roman" w:hAnsi="Cambria Math" w:cs="Calibri"/>
          <w:i/>
          <w:iCs/>
          <w:color w:val="000000"/>
          <w:kern w:val="0"/>
          <w:sz w:val="18"/>
          <w:szCs w:val="18"/>
          <w:lang w:eastAsia="es-MX"/>
          <w14:ligatures w14:val="none"/>
        </w:rPr>
        <w:t xml:space="preserve"> 1 </w:t>
      </w:r>
      <w:r w:rsidRPr="00F55900">
        <w:rPr>
          <w:rFonts w:ascii="Cambria Math" w:eastAsia="Times New Roman" w:hAnsi="Cambria Math" w:cs="Calibri"/>
          <w:color w:val="000000"/>
          <w:kern w:val="0"/>
          <w:sz w:val="18"/>
          <w:szCs w:val="18"/>
          <w:lang w:eastAsia="es-MX"/>
          <w14:ligatures w14:val="none"/>
        </w:rPr>
        <w:t>y</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Pr="00F55900">
        <w:rPr>
          <w:rFonts w:ascii="Cambria Math" w:eastAsia="Times New Roman" w:hAnsi="Cambria Math" w:cs="Calibri"/>
          <w:i/>
          <w:iCs/>
          <w:color w:val="000000"/>
          <w:kern w:val="0"/>
          <w:sz w:val="18"/>
          <w:szCs w:val="18"/>
          <w:lang w:eastAsia="es-MX"/>
          <w14:ligatures w14:val="none"/>
        </w:rPr>
        <w:t>,</w:t>
      </w:r>
      <w:r w:rsidRPr="00F55900">
        <w:rPr>
          <w:rFonts w:ascii="Cambria Math" w:eastAsia="Times New Roman" w:hAnsi="Cambria Math" w:cs="Calibri"/>
          <w:i/>
          <w:iCs/>
          <w:color w:val="000000"/>
          <w:kern w:val="0"/>
          <w:sz w:val="18"/>
          <w:szCs w:val="18"/>
          <w:cs/>
          <w:lang w:eastAsia="es-MX" w:bidi="ta-IN"/>
          <w14:ligatures w14:val="none"/>
        </w:rPr>
        <w:t xml:space="preserve"> </w:t>
      </w:r>
      <w:r w:rsidRPr="00F55900">
        <w:rPr>
          <w:rFonts w:ascii="Cambria Math" w:eastAsia="Times New Roman" w:hAnsi="Cambria Math" w:cs="Calibri"/>
          <w:color w:val="000000"/>
          <w:kern w:val="0"/>
          <w:sz w:val="18"/>
          <w:szCs w:val="18"/>
          <w:lang w:eastAsia="es-MX"/>
          <w14:ligatures w14:val="none"/>
        </w:rPr>
        <w:t>de manera que los primeros</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corresponden a las unidades en</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1</m:t>
            </m:r>
          </m:sub>
        </m:sSub>
      </m:oMath>
      <w:r w:rsidRPr="00F55900">
        <w:rPr>
          <w:rFonts w:ascii="Cambria Math" w:eastAsia="Times New Roman" w:hAnsi="Cambria Math" w:cs="Calibri"/>
          <w:i/>
          <w:iCs/>
          <w:color w:val="000000"/>
          <w:kern w:val="0"/>
          <w:sz w:val="18"/>
          <w:szCs w:val="18"/>
          <w:lang w:eastAsia="es-MX"/>
          <w14:ligatures w14:val="none"/>
        </w:rPr>
        <w:t>,</w:t>
      </w:r>
      <w:r w:rsidRPr="00512268">
        <w:rPr>
          <w:rFonts w:ascii="Cambria Math" w:eastAsia="Times New Roman" w:hAnsi="Cambria Math" w:cs="Calibri"/>
          <w:i/>
          <w:iCs/>
          <w:color w:val="000000"/>
          <w:kern w:val="0"/>
          <w:sz w:val="18"/>
          <w:szCs w:val="18"/>
          <w:cs/>
          <w:lang w:eastAsia="es-MX" w:bidi="or-IN"/>
          <w14:ligatures w14:val="none"/>
        </w:rPr>
        <w:t xml:space="preserve"> </w:t>
      </w:r>
      <w:r w:rsidRPr="00512268">
        <w:rPr>
          <w:rFonts w:ascii="Cambria Math" w:eastAsia="Times New Roman" w:hAnsi="Cambria Math" w:cs="Calibri"/>
          <w:color w:val="000000"/>
          <w:kern w:val="0"/>
          <w:sz w:val="18"/>
          <w:szCs w:val="18"/>
          <w:lang w:eastAsia="es-MX"/>
          <w14:ligatures w14:val="none"/>
        </w:rPr>
        <w:t>los siguientes</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a las unidades en</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2</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y los últimos</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a las unidades en</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U</m:t>
            </m:r>
          </m:e>
          <m:sub>
            <m:r>
              <w:rPr>
                <w:rFonts w:ascii="Cambria Math" w:eastAsia="Times New Roman" w:hAnsi="Cambria Math" w:cs="Calibri"/>
                <w:color w:val="000000"/>
                <w:kern w:val="0"/>
                <w:sz w:val="18"/>
                <w:szCs w:val="18"/>
                <w:lang w:eastAsia="es-MX"/>
                <w14:ligatures w14:val="none"/>
              </w:rPr>
              <m:t>3</m:t>
            </m:r>
          </m:sub>
        </m:sSub>
      </m:oMath>
      <w:r w:rsidRPr="00F55900">
        <w:rPr>
          <w:rFonts w:ascii="Cambria Math" w:eastAsia="Times New Roman" w:hAnsi="Cambria Math" w:cs="Calibri"/>
          <w:i/>
          <w:iCs/>
          <w:color w:val="000000"/>
          <w:kern w:val="0"/>
          <w:sz w:val="18"/>
          <w:szCs w:val="18"/>
          <w:cs/>
          <w:lang w:eastAsia="es-MX" w:bidi="or-IN"/>
          <w14:ligatures w14:val="none"/>
        </w:rPr>
        <w:t xml:space="preserve">. </w:t>
      </w:r>
      <w:r w:rsidRPr="00F55900">
        <w:rPr>
          <w:rFonts w:ascii="Cambria Math" w:eastAsia="Times New Roman" w:hAnsi="Cambria Math" w:cs="Calibri"/>
          <w:color w:val="000000"/>
          <w:kern w:val="0"/>
          <w:sz w:val="18"/>
          <w:szCs w:val="18"/>
          <w:lang w:eastAsia="es-MX"/>
          <w14:ligatures w14:val="none"/>
        </w:rPr>
        <w:t>Entonces, la versión ponderada de este indicador para el nivel de agregación</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TNR</m:t>
            </m:r>
          </m:e>
          <m:sub>
            <m:r>
              <w:rPr>
                <w:rFonts w:ascii="Cambria Math" w:eastAsia="Times New Roman" w:hAnsi="Cambria Math" w:cs="Calibri"/>
                <w:color w:val="000000"/>
                <w:kern w:val="0"/>
                <w:sz w:val="18"/>
                <w:szCs w:val="18"/>
                <w:lang w:eastAsia="es-MX"/>
                <w14:ligatures w14:val="none"/>
              </w:rPr>
              <m:t>w</m:t>
            </m:r>
            <m:r>
              <w:rPr>
                <w:rFonts w:ascii="Cambria Math" w:eastAsia="Times New Roman" w:hAnsi="Cambria Math" w:cs="Calibri"/>
                <w:color w:val="000000"/>
                <w:kern w:val="0"/>
                <w:sz w:val="18"/>
                <w:szCs w:val="18"/>
                <w:lang w:val="es-419" w:eastAsia="es-MX"/>
                <w14:ligatures w14:val="none"/>
              </w:rPr>
              <m:t>g</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se define como:</w:t>
      </w:r>
    </w:p>
    <w:p w14:paraId="7E155DC8" w14:textId="77777777" w:rsidR="00D60B25"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5AEF1C8A" w14:textId="1B556D08" w:rsidR="00D60B25" w:rsidRPr="00F55900" w:rsidRDefault="00000000" w:rsidP="00D60B25">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TNR</m:t>
              </m:r>
            </m:e>
            <m:sub>
              <m:r>
                <w:rPr>
                  <w:rFonts w:ascii="Cambria Math" w:eastAsia="Times New Roman" w:hAnsi="Cambria Math" w:cs="Calibri"/>
                  <w:color w:val="000000"/>
                  <w:kern w:val="0"/>
                  <w:sz w:val="18"/>
                  <w:szCs w:val="18"/>
                  <w:lang w:eastAsia="es-MX"/>
                  <w14:ligatures w14:val="none"/>
                </w:rPr>
                <m:t>w</m:t>
              </m:r>
              <m:r>
                <w:rPr>
                  <w:rFonts w:ascii="Cambria Math" w:eastAsia="Times New Roman" w:hAnsi="Cambria Math" w:cs="Calibri"/>
                  <w:color w:val="000000"/>
                  <w:kern w:val="0"/>
                  <w:sz w:val="18"/>
                  <w:szCs w:val="18"/>
                  <w:lang w:val="es-419" w:eastAsia="es-MX"/>
                  <w14:ligatures w14:val="none"/>
                </w:rPr>
                <m:t>g</m:t>
              </m:r>
            </m:sub>
          </m:sSub>
          <m:r>
            <w:rPr>
              <w:rFonts w:ascii="Cambria Math" w:eastAsia="Times New Roman" w:hAnsi="Cambria Math" w:cs="Calibri"/>
              <w:color w:val="000000"/>
              <w:kern w:val="0"/>
              <w:sz w:val="18"/>
              <w:szCs w:val="18"/>
              <w:lang w:val="es-419" w:eastAsia="es-MX"/>
              <w14:ligatures w14:val="none"/>
            </w:rPr>
            <m:t>= </m:t>
          </m:r>
          <m:f>
            <m:fPr>
              <m:ctrlPr>
                <w:rPr>
                  <w:rFonts w:ascii="Cambria Math" w:eastAsia="Times New Roman" w:hAnsi="Cambria Math" w:cs="Calibri"/>
                  <w:i/>
                  <w:iCs/>
                  <w:color w:val="000000"/>
                  <w:kern w:val="0"/>
                  <w:sz w:val="18"/>
                  <w:szCs w:val="18"/>
                  <w:lang w:val="es-419" w:eastAsia="es-MX"/>
                  <w14:ligatures w14:val="none"/>
                </w:rPr>
              </m:ctrlPr>
            </m:fPr>
            <m:num>
              <m:nary>
                <m:naryPr>
                  <m:chr m:val="∑"/>
                  <m:ctrlPr>
                    <w:rPr>
                      <w:rFonts w:ascii="Cambria Math" w:eastAsia="Times New Roman" w:hAnsi="Cambria Math" w:cs="Calibri"/>
                      <w:i/>
                      <w:iCs/>
                      <w:color w:val="000000"/>
                      <w:kern w:val="0"/>
                      <w:sz w:val="18"/>
                      <w:szCs w:val="18"/>
                      <w:lang w:val="es-419" w:eastAsia="es-MX"/>
                      <w14:ligatures w14:val="none"/>
                    </w:rPr>
                  </m:ctrlPr>
                </m:naryPr>
                <m:sub>
                  <m:r>
                    <w:rPr>
                      <w:rFonts w:ascii="Cambria Math" w:eastAsia="Times New Roman" w:hAnsi="Cambria Math" w:cs="Calibri"/>
                      <w:color w:val="000000"/>
                      <w:kern w:val="0"/>
                      <w:sz w:val="18"/>
                      <w:szCs w:val="18"/>
                      <w:lang w:eastAsia="es-MX"/>
                      <w14:ligatures w14:val="none"/>
                    </w:rPr>
                    <m:t>n=</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r>
                    <w:rPr>
                      <w:rFonts w:ascii="Cambria Math" w:eastAsia="Times New Roman" w:hAnsi="Cambria Math" w:cs="Calibri"/>
                      <w:color w:val="000000"/>
                      <w:kern w:val="0"/>
                      <w:sz w:val="18"/>
                      <w:szCs w:val="18"/>
                      <w:lang w:eastAsia="es-MX"/>
                      <w14:ligatures w14:val="none"/>
                    </w:rPr>
                    <m:t>+1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sup>
                <m:e>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num>
            <m:den>
              <m:nary>
                <m:naryPr>
                  <m:chr m:val="∑"/>
                  <m:ctrlPr>
                    <w:rPr>
                      <w:rFonts w:ascii="Cambria Math" w:eastAsia="Times New Roman" w:hAnsi="Cambria Math" w:cs="Calibri"/>
                      <w:i/>
                      <w:iCs/>
                      <w:color w:val="000000"/>
                      <w:kern w:val="0"/>
                      <w:sz w:val="18"/>
                      <w:szCs w:val="18"/>
                      <w:lang w:val="es-419"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sup>
                <m:e>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den>
          </m:f>
          <m:r>
            <w:rPr>
              <w:rFonts w:ascii="Cambria Math" w:eastAsia="Times New Roman" w:hAnsi="Cambria Math" w:cs="Calibri"/>
              <w:color w:val="000000"/>
              <w:kern w:val="0"/>
              <w:sz w:val="18"/>
              <w:szCs w:val="18"/>
              <w:lang w:val="es-419" w:eastAsia="es-MX"/>
              <w14:ligatures w14:val="none"/>
            </w:rPr>
            <m:t>×</m:t>
          </m:r>
          <m:r>
            <w:rPr>
              <w:rFonts w:ascii="Cambria Math" w:eastAsia="Times New Roman" w:hAnsi="Cambria Math" w:cs="Calibri"/>
              <w:color w:val="000000"/>
              <w:kern w:val="0"/>
              <w:sz w:val="18"/>
              <w:szCs w:val="18"/>
              <w:lang w:eastAsia="es-MX"/>
              <w14:ligatures w14:val="none"/>
            </w:rPr>
            <m:t>100</m:t>
          </m:r>
        </m:oMath>
      </m:oMathPara>
    </w:p>
    <w:p w14:paraId="016DADA8" w14:textId="77777777" w:rsidR="00D60B25"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195C2DD9" w14:textId="77777777" w:rsidR="00D60B25" w:rsidRPr="00F55900" w:rsidRDefault="00D60B25" w:rsidP="00D60B25">
      <w:pPr>
        <w:pStyle w:val="Prrafodelista"/>
        <w:ind w:left="426"/>
        <w:rPr>
          <w:rFonts w:ascii="Cambria Math" w:eastAsia="Times New Roman" w:hAnsi="Cambria Math" w:cs="Calibri"/>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Donde:</w:t>
      </w:r>
    </w:p>
    <w:p w14:paraId="0057956F" w14:textId="311CC6CB" w:rsidR="00D60B25" w:rsidRPr="00F55900"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 xml:space="preserve">i) en el caso de muestras probabilísticas, </w:t>
      </w:r>
      <m:oMath>
        <m:sSub>
          <m:sSubPr>
            <m:ctrlPr>
              <w:rPr>
                <w:rFonts w:ascii="Cambria Math" w:eastAsia="Times New Roman" w:hAnsi="Cambria Math" w:cs="Calibri"/>
                <w:color w:val="000000"/>
                <w:kern w:val="0"/>
                <w:sz w:val="18"/>
                <w:szCs w:val="18"/>
                <w:lang w:val="es-419" w:eastAsia="es-MX"/>
                <w14:ligatures w14:val="none"/>
              </w:rPr>
            </m:ctrlPr>
          </m:sSubPr>
          <m:e>
            <m:r>
              <m:rPr>
                <m:sty m:val="p"/>
              </m:rPr>
              <w:rPr>
                <w:rFonts w:ascii="Cambria Math" w:eastAsia="Times New Roman" w:hAnsi="Cambria Math" w:cs="Calibri"/>
                <w:color w:val="000000"/>
                <w:kern w:val="0"/>
                <w:sz w:val="18"/>
                <w:szCs w:val="18"/>
                <w:lang w:eastAsia="es-MX"/>
                <w14:ligatures w14:val="none"/>
              </w:rPr>
              <m:t>w</m:t>
            </m:r>
          </m:e>
          <m:sub>
            <m:r>
              <m:rPr>
                <m:sty m:val="p"/>
              </m:rPr>
              <w:rPr>
                <w:rFonts w:ascii="Cambria Math" w:eastAsia="Times New Roman" w:hAnsi="Cambria Math" w:cs="Calibri"/>
                <w:color w:val="000000"/>
                <w:kern w:val="0"/>
                <w:sz w:val="18"/>
                <w:szCs w:val="18"/>
                <w:lang w:eastAsia="es-MX"/>
                <w14:ligatures w14:val="none"/>
              </w:rPr>
              <m:t>n</m:t>
            </m:r>
          </m:sub>
        </m:sSub>
      </m:oMath>
      <w:r w:rsidRPr="00F55900">
        <w:rPr>
          <w:rFonts w:ascii="Cambria Math" w:eastAsia="Times New Roman" w:hAnsi="Cambria Math" w:cs="Calibri"/>
          <w:color w:val="000000"/>
          <w:kern w:val="0"/>
          <w:sz w:val="18"/>
          <w:szCs w:val="18"/>
          <w:lang w:eastAsia="es-MX"/>
          <w14:ligatures w14:val="none"/>
        </w:rPr>
        <w:t xml:space="preserve"> corresponde al factor de expansión original de la unidad </w:t>
      </w:r>
      <m:oMath>
        <m:r>
          <w:rPr>
            <w:rFonts w:ascii="Cambria Math" w:eastAsia="Times New Roman" w:hAnsi="Cambria Math" w:cs="Calibri"/>
            <w:color w:val="000000"/>
            <w:kern w:val="0"/>
            <w:sz w:val="18"/>
            <w:szCs w:val="18"/>
            <w:lang w:eastAsia="es-MX"/>
            <w14:ligatures w14:val="none"/>
          </w:rPr>
          <m:t>n</m:t>
        </m:r>
      </m:oMath>
      <w:r w:rsidRPr="00F55900">
        <w:rPr>
          <w:rFonts w:ascii="Cambria Math" w:eastAsia="Times New Roman" w:hAnsi="Cambria Math" w:cs="Calibri"/>
          <w:color w:val="000000"/>
          <w:kern w:val="0"/>
          <w:sz w:val="18"/>
          <w:szCs w:val="18"/>
          <w:lang w:eastAsia="es-MX"/>
          <w14:ligatures w14:val="none"/>
        </w:rPr>
        <w:t xml:space="preserve"> que pertenece a</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y,</w:t>
      </w:r>
    </w:p>
    <w:p w14:paraId="3B0C6E42" w14:textId="01AB9AC5" w:rsidR="00D60B25" w:rsidRPr="00D60B25"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r w:rsidRPr="00F55900">
        <w:rPr>
          <w:rFonts w:ascii="Cambria Math" w:eastAsia="Times New Roman" w:hAnsi="Cambria Math" w:cs="Calibri"/>
          <w:color w:val="000000"/>
          <w:kern w:val="0"/>
          <w:sz w:val="18"/>
          <w:szCs w:val="18"/>
          <w:lang w:eastAsia="es-MX"/>
          <w14:ligatures w14:val="none"/>
        </w:rPr>
        <w:t>ii) en el caso de muestras no probabilísticas, </w:t>
      </w: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F55900">
        <w:rPr>
          <w:rFonts w:ascii="Cambria Math" w:eastAsia="Times New Roman" w:hAnsi="Cambria Math" w:cs="Calibri"/>
          <w:i/>
          <w:iCs/>
          <w:color w:val="000000"/>
          <w:kern w:val="0"/>
          <w:sz w:val="18"/>
          <w:szCs w:val="18"/>
          <w:lang w:eastAsia="es-MX"/>
          <w14:ligatures w14:val="none"/>
        </w:rPr>
        <w:t>, </w:t>
      </w:r>
      <w:r w:rsidRPr="00F55900">
        <w:rPr>
          <w:rFonts w:ascii="Cambria Math" w:eastAsia="Times New Roman" w:hAnsi="Cambria Math" w:cs="Calibri"/>
          <w:color w:val="000000"/>
          <w:kern w:val="0"/>
          <w:sz w:val="18"/>
          <w:szCs w:val="18"/>
          <w:lang w:eastAsia="es-MX"/>
          <w14:ligatures w14:val="none"/>
        </w:rPr>
        <w:t>con</w:t>
      </w:r>
      <w:r w:rsidRPr="00F55900">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el valor de la variable de diseño</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X</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usada en el esquema determinístico para obtener la muestra, asociado a la unidad</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n</m:t>
        </m:r>
      </m:oMath>
      <w:r w:rsidRPr="00F55900">
        <w:rPr>
          <w:rFonts w:ascii="Cambria Math" w:eastAsia="Times New Roman" w:hAnsi="Cambria Math" w:cs="Calibri"/>
          <w:i/>
          <w:iCs/>
          <w:color w:val="000000"/>
          <w:kern w:val="0"/>
          <w:sz w:val="18"/>
          <w:szCs w:val="18"/>
          <w:lang w:eastAsia="es-MX"/>
          <w14:ligatures w14:val="none"/>
        </w:rPr>
        <w:t xml:space="preserve"> </w:t>
      </w:r>
      <w:r w:rsidRPr="00F55900">
        <w:rPr>
          <w:rFonts w:ascii="Cambria Math" w:eastAsia="Times New Roman" w:hAnsi="Cambria Math" w:cs="Calibri"/>
          <w:color w:val="000000"/>
          <w:kern w:val="0"/>
          <w:sz w:val="18"/>
          <w:szCs w:val="18"/>
          <w:lang w:eastAsia="es-MX"/>
          <w14:ligatures w14:val="none"/>
        </w:rPr>
        <w:t>que pertenece a</w:t>
      </w:r>
      <w:r w:rsidRPr="00F55900">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F55900">
        <w:rPr>
          <w:rFonts w:ascii="Cambria Math" w:eastAsia="Times New Roman" w:hAnsi="Cambria Math" w:cs="Calibri"/>
          <w:i/>
          <w:iCs/>
          <w:color w:val="000000"/>
          <w:kern w:val="0"/>
          <w:sz w:val="18"/>
          <w:szCs w:val="18"/>
          <w:lang w:eastAsia="es-MX"/>
          <w14:ligatures w14:val="none"/>
        </w:rPr>
        <w:t>.</w:t>
      </w:r>
    </w:p>
    <w:p w14:paraId="70559B6D" w14:textId="77777777" w:rsidR="00D60B25" w:rsidRPr="00D60B25"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00377A75" w14:textId="1E440DD9" w:rsidR="00294AE7" w:rsidRDefault="00294AE7" w:rsidP="0081555F">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w:t>
      </w: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92A2952" w14:textId="375B2518" w:rsidR="00C66E9E" w:rsidRPr="00C66E9E" w:rsidRDefault="00294AE7" w:rsidP="00C66E9E">
      <w:pPr>
        <w:ind w:left="426"/>
        <w:rPr>
          <w:rFonts w:ascii="Calibri" w:eastAsia="Times New Roman" w:hAnsi="Calibri" w:cs="Calibri"/>
          <w:sz w:val="20"/>
          <w:szCs w:val="20"/>
        </w:rPr>
      </w:pPr>
      <w:r w:rsidRPr="00294AE7">
        <w:rPr>
          <w:rFonts w:ascii="Calibri" w:eastAsia="Times New Roman" w:hAnsi="Calibri" w:cs="Calibri"/>
          <w:b/>
          <w:bCs/>
          <w:kern w:val="0"/>
          <w:sz w:val="20"/>
          <w:szCs w:val="20"/>
          <w:lang w:eastAsia="es-MX"/>
          <w14:ligatures w14:val="none"/>
        </w:rPr>
        <w:br/>
      </w:r>
      <w:r w:rsidR="00C66E9E" w:rsidRPr="00C66E9E">
        <w:rPr>
          <w:rFonts w:ascii="Calibri" w:eastAsia="Times New Roman" w:hAnsi="Calibri" w:cs="Calibri"/>
          <w:sz w:val="20"/>
          <w:szCs w:val="20"/>
        </w:rPr>
        <w:t>Toda la información se obtiene del pro</w:t>
      </w:r>
      <w:r w:rsidR="00813DF1">
        <w:rPr>
          <w:rFonts w:ascii="Calibri" w:eastAsia="Times New Roman" w:hAnsi="Calibri" w:cs="Calibri"/>
          <w:sz w:val="20"/>
          <w:szCs w:val="20"/>
        </w:rPr>
        <w:t>ceso de producción</w:t>
      </w:r>
      <w:r w:rsidR="00C66E9E" w:rsidRPr="00C66E9E">
        <w:rPr>
          <w:rFonts w:ascii="Calibri" w:eastAsia="Times New Roman" w:hAnsi="Calibri" w:cs="Calibri"/>
          <w:sz w:val="20"/>
          <w:szCs w:val="20"/>
        </w:rPr>
        <w:t xml:space="preserve"> a evaluar.                                                                                                                                   </w:t>
      </w:r>
    </w:p>
    <w:p w14:paraId="66CB913A" w14:textId="44B8FF94" w:rsidR="00361D6E" w:rsidRDefault="00C66E9E" w:rsidP="00C66E9E">
      <w:pPr>
        <w:ind w:left="426"/>
        <w:rPr>
          <w:rFonts w:ascii="Calibri" w:eastAsia="Times New Roman" w:hAnsi="Calibri" w:cs="Calibri"/>
          <w:sz w:val="20"/>
          <w:szCs w:val="20"/>
        </w:rPr>
      </w:pPr>
      <w:r w:rsidRPr="00C66E9E">
        <w:rPr>
          <w:rFonts w:ascii="Calibri" w:eastAsia="Times New Roman" w:hAnsi="Calibri" w:cs="Calibri"/>
          <w:sz w:val="20"/>
          <w:szCs w:val="20"/>
        </w:rPr>
        <w:t>Para el caso de muestreo no probabilístico la información para calcular la versión ponderada del indicador proviene del marco considerado como referencia en el pro</w:t>
      </w:r>
      <w:r>
        <w:rPr>
          <w:rFonts w:ascii="Calibri" w:eastAsia="Times New Roman" w:hAnsi="Calibri" w:cs="Calibri"/>
          <w:sz w:val="20"/>
          <w:szCs w:val="20"/>
        </w:rPr>
        <w:t>ceso de producción</w:t>
      </w:r>
      <w:r w:rsidRPr="00C66E9E">
        <w:rPr>
          <w:rFonts w:ascii="Calibri" w:eastAsia="Times New Roman" w:hAnsi="Calibri" w:cs="Calibri"/>
          <w:sz w:val="20"/>
          <w:szCs w:val="20"/>
        </w:rPr>
        <w:t>.</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Nivel de agregación:</w:t>
      </w:r>
    </w:p>
    <w:p w14:paraId="12A94F44" w14:textId="1309D877" w:rsidR="00294AE7" w:rsidRDefault="00C66E9E"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 xml:space="preserve">Las desagregaciones o agrupaciones sobre las cuales se calculará el indicador </w:t>
      </w:r>
      <w:r w:rsidR="006A6885">
        <w:rPr>
          <w:rFonts w:ascii="Calibri" w:eastAsia="Times New Roman" w:hAnsi="Calibri" w:cs="Calibri"/>
          <w:color w:val="000000"/>
          <w:kern w:val="0"/>
          <w:sz w:val="20"/>
          <w:szCs w:val="20"/>
          <w:lang w:eastAsia="es-MX"/>
          <w14:ligatures w14:val="none"/>
        </w:rPr>
        <w:t>s</w:t>
      </w:r>
      <w:r w:rsidRPr="00C66E9E">
        <w:rPr>
          <w:rFonts w:ascii="Calibri" w:eastAsia="Times New Roman" w:hAnsi="Calibri" w:cs="Calibri"/>
          <w:color w:val="000000"/>
          <w:kern w:val="0"/>
          <w:sz w:val="20"/>
          <w:szCs w:val="20"/>
          <w:lang w:eastAsia="es-MX"/>
          <w14:ligatures w14:val="none"/>
        </w:rPr>
        <w:t>e definirán para cada pro</w:t>
      </w:r>
      <w:r>
        <w:rPr>
          <w:rFonts w:ascii="Calibri" w:eastAsia="Times New Roman" w:hAnsi="Calibri" w:cs="Calibri"/>
          <w:color w:val="000000"/>
          <w:kern w:val="0"/>
          <w:sz w:val="20"/>
          <w:szCs w:val="20"/>
          <w:lang w:eastAsia="es-MX"/>
          <w14:ligatures w14:val="none"/>
        </w:rPr>
        <w:t>ceso de producción</w:t>
      </w:r>
      <w:r w:rsidRPr="00C66E9E">
        <w:rPr>
          <w:rFonts w:ascii="Calibri" w:eastAsia="Times New Roman" w:hAnsi="Calibri" w:cs="Calibri"/>
          <w:color w:val="000000"/>
          <w:kern w:val="0"/>
          <w:sz w:val="20"/>
          <w:szCs w:val="20"/>
          <w:lang w:eastAsia="es-MX"/>
          <w14:ligatures w14:val="none"/>
        </w:rPr>
        <w:t xml:space="preserve"> en particular, pero al menos deben estar presentes los diferentes dominios de estudio de publicación.</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689CB896" w14:textId="5DEFD7F9"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La tasa de no respuesta antes de imputación a nivel unidad de observación se calcula considerando sólo el conjunto de todas las unidades de observación en donde se intenta recabar la información y que no se determinan fuera de la población objetivo</w:t>
      </w:r>
      <w:r w:rsidR="00F234AC">
        <w:rPr>
          <w:rFonts w:ascii="Calibri" w:eastAsia="Times New Roman" w:hAnsi="Calibri" w:cs="Calibri"/>
          <w:color w:val="000000"/>
          <w:kern w:val="0"/>
          <w:sz w:val="20"/>
          <w:szCs w:val="20"/>
          <w:lang w:eastAsia="es-MX"/>
          <w14:ligatures w14:val="none"/>
        </w:rPr>
        <w:t>,</w:t>
      </w:r>
      <w:r w:rsidRPr="00F55900">
        <w:rPr>
          <w:rFonts w:ascii="Calibri" w:eastAsia="Times New Roman" w:hAnsi="Calibri" w:cs="Calibri"/>
          <w:color w:val="000000"/>
          <w:kern w:val="0"/>
          <w:sz w:val="20"/>
          <w:szCs w:val="20"/>
          <w:lang w:eastAsia="es-MX"/>
          <w14:ligatures w14:val="none"/>
        </w:rPr>
        <w:t xml:space="preserve"> definida para el proceso de producción. En lo que sigue se hace referencia a las unidades de observación considerando sólo aquellas en este conjunto. </w:t>
      </w:r>
    </w:p>
    <w:p w14:paraId="0C627A2A" w14:textId="7F43D704"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 xml:space="preserve">           </w:t>
      </w:r>
    </w:p>
    <w:p w14:paraId="38F567DA" w14:textId="3521AD44"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La tasa de no respuesta antes de imputación a nivel unidad de observación tiene como fin medir la no respuesta a nivel de unidad de observación, entendiendo ésta como aquella que se obtiene al considerar a las unidades de observación en donde no se obtuvo información alguna y a las unidades en donde la información de al menos una de las variables objeto del proceso de producción no tiene información admisible de acuerdo con la definición de la variable y los criterios de validación definidos en la fase de diseño para el pro</w:t>
      </w:r>
      <w:r w:rsidR="00813DF1">
        <w:rPr>
          <w:rFonts w:ascii="Calibri" w:eastAsia="Times New Roman" w:hAnsi="Calibri" w:cs="Calibri"/>
          <w:color w:val="000000"/>
          <w:kern w:val="0"/>
          <w:sz w:val="20"/>
          <w:szCs w:val="20"/>
          <w:lang w:eastAsia="es-MX"/>
          <w14:ligatures w14:val="none"/>
        </w:rPr>
        <w:t>ceso de producción</w:t>
      </w:r>
      <w:r w:rsidRPr="00F55900">
        <w:rPr>
          <w:rFonts w:ascii="Calibri" w:eastAsia="Times New Roman" w:hAnsi="Calibri" w:cs="Calibri"/>
          <w:color w:val="000000"/>
          <w:kern w:val="0"/>
          <w:sz w:val="20"/>
          <w:szCs w:val="20"/>
          <w:lang w:eastAsia="es-MX"/>
          <w14:ligatures w14:val="none"/>
        </w:rPr>
        <w:t xml:space="preserve"> en cuestión.</w:t>
      </w:r>
    </w:p>
    <w:p w14:paraId="165B1D88" w14:textId="77777777"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72A57CA" w14:textId="55262CE0"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Se define como información admisible a aquella información que pasa los criterios de validación, incluyendo los casos en donde desde la fase de diseño se definen como admisibles códigos de no respuesta para alguna variable en particular. Es decir, esta no respuesta incluye:</w:t>
      </w:r>
    </w:p>
    <w:p w14:paraId="3CE3B3AB" w14:textId="77777777"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E76C5C3" w14:textId="37C7D924" w:rsidR="00C66E9E" w:rsidRPr="00F55900" w:rsidRDefault="00C66E9E" w:rsidP="00C66E9E">
      <w:pPr>
        <w:pStyle w:val="Prrafodelista"/>
        <w:spacing w:after="0" w:line="240" w:lineRule="auto"/>
        <w:ind w:left="709" w:hanging="283"/>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i)  Aquellas unidades de observación en donde se intentó recabar la información y no se obtuvo información alguna, por ejemplo, por cuestiones como inseguridad, unidad no disponible (se negaron a recibir al entrevistador, el informante no está disponible cuando se hace la visita), etc.</w:t>
      </w:r>
    </w:p>
    <w:p w14:paraId="153858C9" w14:textId="77777777"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A2EE7D0" w14:textId="147FD19C" w:rsidR="00C66E9E" w:rsidRPr="00F55900" w:rsidRDefault="00C66E9E" w:rsidP="00C66E9E">
      <w:pPr>
        <w:pStyle w:val="Prrafodelista"/>
        <w:numPr>
          <w:ilvl w:val="0"/>
          <w:numId w:val="13"/>
        </w:numPr>
        <w:spacing w:after="0" w:line="240" w:lineRule="auto"/>
        <w:ind w:left="709" w:hanging="283"/>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 xml:space="preserve">Aquellas unidades de observación en donde se obtuvo información, pero al realizar la validación y codificación (en la fase de recolección o procesamiento del MPEG*) se decide que la unidad de observación tiene información no admisible en al menos una de las variables objeto del proceso de producción.        </w:t>
      </w:r>
    </w:p>
    <w:p w14:paraId="1D8D9A8A" w14:textId="19061A62" w:rsidR="00C66E9E" w:rsidRPr="00F55900" w:rsidRDefault="00C66E9E" w:rsidP="00C66E9E">
      <w:pPr>
        <w:pStyle w:val="Prrafodelista"/>
        <w:spacing w:after="0" w:line="240" w:lineRule="auto"/>
        <w:ind w:left="114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 xml:space="preserve">                                                                                                                                                                              </w:t>
      </w:r>
    </w:p>
    <w:p w14:paraId="5C6E6BA9" w14:textId="77777777"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La tasa de no respuesta antes de imputación a nivel unidad de observación se define entonces como el cociente entre el total de las unidades de observación con las características definidas en los incisos i y ii y el total de las unidades de observación.</w:t>
      </w:r>
    </w:p>
    <w:p w14:paraId="13250FD5" w14:textId="77777777" w:rsidR="00C66E9E" w:rsidRPr="00F55900"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DE80D17" w14:textId="0FDD2544" w:rsid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55900">
        <w:rPr>
          <w:rFonts w:ascii="Calibri" w:eastAsia="Times New Roman" w:hAnsi="Calibri" w:cs="Calibri"/>
          <w:color w:val="000000"/>
          <w:kern w:val="0"/>
          <w:sz w:val="20"/>
          <w:szCs w:val="20"/>
          <w:lang w:eastAsia="es-MX"/>
          <w14:ligatures w14:val="none"/>
        </w:rPr>
        <w:t xml:space="preserve"> * De la fase de procesamiento sólo se considera la codificación y validación de la información de campo, todo procedimiento de imputación, edición y, en el caso de muestras probabilísticas, el ajuste de los factores de expansión no es parte de los procedimientos que se consideran para definir esta no respuesta. Por lo tanto, para el cálculo todos los insumos se deben tomar antes de aplicar cualquier algoritmo asociado a estas actividades</w:t>
      </w:r>
    </w:p>
    <w:p w14:paraId="6508E5B2" w14:textId="77777777" w:rsid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E008B65" w14:textId="77777777" w:rsid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El indicador se deberá publicar junto con los siguientes aspectos:</w:t>
      </w:r>
    </w:p>
    <w:p w14:paraId="422A46AD" w14:textId="77777777" w:rsidR="00C66E9E" w:rsidRP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4033C1B" w14:textId="77777777" w:rsidR="009F33B6"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i) La unidad de observación sobre la cual se realizó el cálculo de la tasa de no respuesta.</w:t>
      </w:r>
    </w:p>
    <w:p w14:paraId="35F0826D" w14:textId="1B6C4797" w:rsidR="00C66E9E" w:rsidRP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 xml:space="preserve">                                                                                       </w:t>
      </w:r>
    </w:p>
    <w:p w14:paraId="66C8562E" w14:textId="5EB38CCD" w:rsid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ii) Las desagregaciones sobre las cuales se calculó el indicador (principales dominios de estudio, variables de estratificación o agrupaciones relacionadas con las variables principales del pro</w:t>
      </w:r>
      <w:r w:rsidR="00813DF1">
        <w:rPr>
          <w:rFonts w:ascii="Calibri" w:eastAsia="Times New Roman" w:hAnsi="Calibri" w:cs="Calibri"/>
          <w:color w:val="000000"/>
          <w:kern w:val="0"/>
          <w:sz w:val="20"/>
          <w:szCs w:val="20"/>
          <w:lang w:eastAsia="es-MX"/>
          <w14:ligatures w14:val="none"/>
        </w:rPr>
        <w:t>ceso de producción</w:t>
      </w:r>
      <w:r w:rsidRPr="00C66E9E">
        <w:rPr>
          <w:rFonts w:ascii="Calibri" w:eastAsia="Times New Roman" w:hAnsi="Calibri" w:cs="Calibri"/>
          <w:color w:val="000000"/>
          <w:kern w:val="0"/>
          <w:sz w:val="20"/>
          <w:szCs w:val="20"/>
          <w:lang w:eastAsia="es-MX"/>
          <w14:ligatures w14:val="none"/>
        </w:rPr>
        <w:t>).</w:t>
      </w:r>
    </w:p>
    <w:p w14:paraId="1DCAA6BD" w14:textId="77777777" w:rsidR="00C66E9E" w:rsidRP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1F7E213" w14:textId="56B5E703" w:rsidR="00C66E9E" w:rsidRDefault="00C66E9E"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iii) Una nota de contexto en donde se haga énfasis de que no se observa una diferencia entre las tasas de no respuesta o bien indicando en d</w:t>
      </w:r>
      <w:r w:rsidR="009F33B6">
        <w:rPr>
          <w:rFonts w:ascii="Calibri" w:eastAsia="Times New Roman" w:hAnsi="Calibri" w:cs="Calibri"/>
          <w:color w:val="000000"/>
          <w:kern w:val="0"/>
          <w:sz w:val="20"/>
          <w:szCs w:val="20"/>
          <w:lang w:eastAsia="es-MX"/>
          <w14:ligatures w14:val="none"/>
        </w:rPr>
        <w:t>ó</w:t>
      </w:r>
      <w:r w:rsidRPr="00C66E9E">
        <w:rPr>
          <w:rFonts w:ascii="Calibri" w:eastAsia="Times New Roman" w:hAnsi="Calibri" w:cs="Calibri"/>
          <w:color w:val="000000"/>
          <w:kern w:val="0"/>
          <w:sz w:val="20"/>
          <w:szCs w:val="20"/>
          <w:lang w:eastAsia="es-MX"/>
          <w14:ligatures w14:val="none"/>
        </w:rPr>
        <w:t>nde se observa una discrepancia. Por ejemplo, "Considerando las tasas de no respuesta a nivel entidad federativa se observa que éstas varían entre 5% y 20% y resaltan las entidades X y Y con las tasas más altas de 18% y 20%, respectivamente".</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Valores de referencia o estándar de calidad utilizado:</w:t>
      </w:r>
    </w:p>
    <w:p w14:paraId="3A6E9167" w14:textId="2D5A6F53" w:rsidR="007D2115" w:rsidRDefault="00C66E9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C66E9E">
        <w:rPr>
          <w:rFonts w:ascii="Calibri" w:eastAsia="Times New Roman" w:hAnsi="Calibri" w:cs="Calibri"/>
          <w:color w:val="000000"/>
          <w:kern w:val="0"/>
          <w:sz w:val="20"/>
          <w:szCs w:val="20"/>
          <w:lang w:eastAsia="es-MX"/>
          <w14:ligatures w14:val="none"/>
        </w:rPr>
        <w:t>No se adopta un valor de referencia, sin embargo, es deseable que no se supere el 15%.  Lo más importante del cálculo de este indicador es informar al usuario sobre patrones observados al calcular el indicador en las agrupaciones definidas que pudieran sugerir la existencia de un sesgo por la no respuesta.</w:t>
      </w:r>
    </w:p>
    <w:sectPr w:rsidR="007D21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11282"/>
    <w:multiLevelType w:val="hybridMultilevel"/>
    <w:tmpl w:val="C8B6849E"/>
    <w:lvl w:ilvl="0" w:tplc="A7669E2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800AD7"/>
    <w:multiLevelType w:val="hybridMultilevel"/>
    <w:tmpl w:val="7FB026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1"/>
  </w:num>
  <w:num w:numId="7" w16cid:durableId="1373924067">
    <w:abstractNumId w:val="9"/>
  </w:num>
  <w:num w:numId="8" w16cid:durableId="435561208">
    <w:abstractNumId w:val="10"/>
  </w:num>
  <w:num w:numId="9" w16cid:durableId="1724983717">
    <w:abstractNumId w:val="6"/>
  </w:num>
  <w:num w:numId="10" w16cid:durableId="76486300">
    <w:abstractNumId w:val="4"/>
  </w:num>
  <w:num w:numId="11" w16cid:durableId="672757559">
    <w:abstractNumId w:val="5"/>
  </w:num>
  <w:num w:numId="12" w16cid:durableId="1931692055">
    <w:abstractNumId w:val="8"/>
  </w:num>
  <w:num w:numId="13" w16cid:durableId="50313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77331"/>
    <w:rsid w:val="00100E12"/>
    <w:rsid w:val="00125E0E"/>
    <w:rsid w:val="00186E2E"/>
    <w:rsid w:val="00206D7D"/>
    <w:rsid w:val="00222437"/>
    <w:rsid w:val="00235D6E"/>
    <w:rsid w:val="002529AB"/>
    <w:rsid w:val="0026114F"/>
    <w:rsid w:val="00267B2F"/>
    <w:rsid w:val="00294AE7"/>
    <w:rsid w:val="002E07D0"/>
    <w:rsid w:val="002F559F"/>
    <w:rsid w:val="0033224A"/>
    <w:rsid w:val="00335E4E"/>
    <w:rsid w:val="003569FC"/>
    <w:rsid w:val="00361D6E"/>
    <w:rsid w:val="00362EEC"/>
    <w:rsid w:val="00394D4B"/>
    <w:rsid w:val="0042050E"/>
    <w:rsid w:val="00444B20"/>
    <w:rsid w:val="00464252"/>
    <w:rsid w:val="004836B2"/>
    <w:rsid w:val="004A0D61"/>
    <w:rsid w:val="004C726F"/>
    <w:rsid w:val="004C7FA7"/>
    <w:rsid w:val="004D0F1B"/>
    <w:rsid w:val="004D2E5F"/>
    <w:rsid w:val="00512268"/>
    <w:rsid w:val="00597769"/>
    <w:rsid w:val="005D5F63"/>
    <w:rsid w:val="0061336D"/>
    <w:rsid w:val="00634AA4"/>
    <w:rsid w:val="006A6885"/>
    <w:rsid w:val="006B2E16"/>
    <w:rsid w:val="006E768E"/>
    <w:rsid w:val="00711025"/>
    <w:rsid w:val="007976EB"/>
    <w:rsid w:val="007B774C"/>
    <w:rsid w:val="007D2115"/>
    <w:rsid w:val="007E42EE"/>
    <w:rsid w:val="00813DF1"/>
    <w:rsid w:val="0081555F"/>
    <w:rsid w:val="00872EB8"/>
    <w:rsid w:val="00887600"/>
    <w:rsid w:val="008A457F"/>
    <w:rsid w:val="008C470B"/>
    <w:rsid w:val="009510D8"/>
    <w:rsid w:val="009546E7"/>
    <w:rsid w:val="0097395E"/>
    <w:rsid w:val="00984084"/>
    <w:rsid w:val="009935FA"/>
    <w:rsid w:val="009A6531"/>
    <w:rsid w:val="009F0312"/>
    <w:rsid w:val="009F1250"/>
    <w:rsid w:val="009F33B6"/>
    <w:rsid w:val="00A45439"/>
    <w:rsid w:val="00A50F8D"/>
    <w:rsid w:val="00BF4A5C"/>
    <w:rsid w:val="00C66E9E"/>
    <w:rsid w:val="00D14EE5"/>
    <w:rsid w:val="00D274BD"/>
    <w:rsid w:val="00D42E7D"/>
    <w:rsid w:val="00D468DB"/>
    <w:rsid w:val="00D60B25"/>
    <w:rsid w:val="00D73C42"/>
    <w:rsid w:val="00DB70C3"/>
    <w:rsid w:val="00DC0047"/>
    <w:rsid w:val="00DE2869"/>
    <w:rsid w:val="00DF5B40"/>
    <w:rsid w:val="00E321A6"/>
    <w:rsid w:val="00E60F03"/>
    <w:rsid w:val="00EC5EB3"/>
    <w:rsid w:val="00EE62C9"/>
    <w:rsid w:val="00EF3947"/>
    <w:rsid w:val="00F234AC"/>
    <w:rsid w:val="00F37A79"/>
    <w:rsid w:val="00F540C3"/>
    <w:rsid w:val="00F55900"/>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swiki.unece.org/download/attachments/123142969/Quality%20Indicators%20for%20the%20Generic%20Statistical%20Business%20Process%20Model%20&#8208;%20Version%201.0%20%2824%20May%202016%29.pdf?version=1&amp;modificationDate=1464621144300&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csauthority.gov.uk/wp&#8208;content/uploads/2017/01/Guidelines&#8208;for&#8208;Measuring&#8208;Statistical&#8208;Outputs&#8208;Quality.pdf" TargetMode="External"/><Relationship Id="rId5" Type="http://schemas.openxmlformats.org/officeDocument/2006/relationships/hyperlink" Target="http://ec.europa.eu/eurostat/documents/385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6</Pages>
  <Words>2596</Words>
  <Characters>14281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38</cp:revision>
  <dcterms:created xsi:type="dcterms:W3CDTF">2025-07-23T17:19:00Z</dcterms:created>
  <dcterms:modified xsi:type="dcterms:W3CDTF">2025-10-09T17:28:00Z</dcterms:modified>
</cp:coreProperties>
</file>